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附件</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2</w:t>
      </w:r>
      <w:bookmarkStart w:id="7" w:name="_GoBack"/>
      <w:bookmarkEnd w:id="7"/>
    </w:p>
    <w:p>
      <w:pPr>
        <w:spacing w:line="600" w:lineRule="exact"/>
        <w:jc w:val="center"/>
        <w:rPr>
          <w:rFonts w:hint="eastAsia" w:ascii="方正小标宋_GBK" w:hAnsi="方正小标宋_GBK" w:eastAsia="方正小标宋_GBK" w:cs="方正小标宋_GBK"/>
          <w:color w:val="000000" w:themeColor="text1"/>
          <w:spacing w:val="-11"/>
          <w:sz w:val="44"/>
          <w:szCs w:val="44"/>
          <w14:textFill>
            <w14:solidFill>
              <w14:schemeClr w14:val="tx1"/>
            </w14:solidFill>
          </w14:textFill>
        </w:rPr>
      </w:pPr>
    </w:p>
    <w:p>
      <w:pPr>
        <w:spacing w:line="600" w:lineRule="exact"/>
        <w:jc w:val="center"/>
        <w:rPr>
          <w:rFonts w:hint="eastAsia" w:ascii="方正小标宋_GBK" w:hAnsi="方正小标宋_GBK" w:eastAsia="方正小标宋_GBK" w:cs="方正小标宋_GBK"/>
          <w:color w:val="000000" w:themeColor="text1"/>
          <w:spacing w:val="-11"/>
          <w:sz w:val="44"/>
          <w:szCs w:val="44"/>
          <w14:textFill>
            <w14:solidFill>
              <w14:schemeClr w14:val="tx1"/>
            </w14:solidFill>
          </w14:textFill>
        </w:rPr>
      </w:pPr>
      <w:r>
        <w:rPr>
          <w:rFonts w:hint="eastAsia" w:ascii="方正小标宋_GBK" w:hAnsi="方正小标宋_GBK" w:eastAsia="方正小标宋_GBK" w:cs="方正小标宋_GBK"/>
          <w:color w:val="000000" w:themeColor="text1"/>
          <w:spacing w:val="-17"/>
          <w:sz w:val="44"/>
          <w:szCs w:val="44"/>
          <w14:textFill>
            <w14:solidFill>
              <w14:schemeClr w14:val="tx1"/>
            </w14:solidFill>
          </w14:textFill>
        </w:rPr>
        <w:t>云南省继续医学教育学分管理实施方案（试行）</w:t>
      </w:r>
    </w:p>
    <w:p>
      <w:pPr>
        <w:spacing w:line="600" w:lineRule="exact"/>
        <w:jc w:val="center"/>
        <w:rPr>
          <w:rFonts w:hint="eastAsia" w:ascii="方正楷体_GBK" w:hAnsi="方正楷体_GBK" w:eastAsia="方正楷体_GBK" w:cs="方正楷体_GBK"/>
          <w:color w:val="000000" w:themeColor="text1"/>
          <w:sz w:val="32"/>
          <w:szCs w:val="32"/>
          <w14:textFill>
            <w14:solidFill>
              <w14:schemeClr w14:val="tx1"/>
            </w14:solidFill>
          </w14:textFill>
        </w:rPr>
      </w:pPr>
      <w:r>
        <w:rPr>
          <w:rFonts w:hint="eastAsia" w:ascii="方正楷体_GBK" w:hAnsi="方正楷体_GBK" w:eastAsia="方正楷体_GBK" w:cs="方正楷体_GBK"/>
          <w:color w:val="000000" w:themeColor="text1"/>
          <w:sz w:val="32"/>
          <w:szCs w:val="32"/>
          <w14:textFill>
            <w14:solidFill>
              <w14:schemeClr w14:val="tx1"/>
            </w14:solidFill>
          </w14:textFill>
        </w:rPr>
        <w:t>（</w:t>
      </w:r>
      <w:r>
        <w:rPr>
          <w:rFonts w:hint="eastAsia" w:ascii="方正楷体_GBK" w:hAnsi="方正楷体_GBK" w:eastAsia="方正楷体_GBK" w:cs="方正楷体_GBK"/>
          <w:color w:val="000000" w:themeColor="text1"/>
          <w:sz w:val="32"/>
          <w:szCs w:val="32"/>
          <w:lang w:eastAsia="zh-CN"/>
          <w14:textFill>
            <w14:solidFill>
              <w14:schemeClr w14:val="tx1"/>
            </w14:solidFill>
          </w14:textFill>
        </w:rPr>
        <w:t>征求意见稿</w:t>
      </w:r>
      <w:r>
        <w:rPr>
          <w:rFonts w:hint="eastAsia" w:ascii="方正楷体_GBK" w:hAnsi="方正楷体_GBK" w:eastAsia="方正楷体_GBK" w:cs="方正楷体_GBK"/>
          <w:color w:val="000000" w:themeColor="text1"/>
          <w:sz w:val="32"/>
          <w:szCs w:val="32"/>
          <w14:textFill>
            <w14:solidFill>
              <w14:schemeClr w14:val="tx1"/>
            </w14:solidFill>
          </w14:textFill>
        </w:rPr>
        <w:t>）</w:t>
      </w:r>
    </w:p>
    <w:p>
      <w:pPr>
        <w:spacing w:line="600" w:lineRule="exact"/>
        <w:rPr>
          <w:rFonts w:hint="eastAsia" w:ascii="方正小标宋_GBK" w:hAnsi="方正小标宋_GBK" w:eastAsia="方正小标宋_GBK" w:cs="方正小标宋_GBK"/>
          <w:color w:val="000000" w:themeColor="text1"/>
          <w:sz w:val="44"/>
          <w:szCs w:val="44"/>
          <w14:textFill>
            <w14:solidFill>
              <w14:schemeClr w14:val="tx1"/>
            </w14:solidFill>
          </w14:textFill>
        </w:rPr>
      </w:pPr>
    </w:p>
    <w:p>
      <w:pPr>
        <w:spacing w:line="560" w:lineRule="exact"/>
        <w:ind w:firstLine="64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为加强和规范卫生专业技术人员继续医学教育活动学分管理，根据国家《继续医学教育学分管理办法（试行）》有关要求，结合我省实际，制定本实施方案。</w:t>
      </w:r>
    </w:p>
    <w:p>
      <w:pPr>
        <w:spacing w:line="560" w:lineRule="exact"/>
        <w:ind w:firstLine="640"/>
        <w:rPr>
          <w:rFonts w:hint="eastAsia" w:ascii="方正黑体_GBK" w:hAnsi="方正黑体_GBK" w:eastAsia="方正黑体_GBK" w:cs="方正黑体_GBK"/>
          <w:color w:val="000000" w:themeColor="text1"/>
          <w:sz w:val="32"/>
          <w:szCs w:val="32"/>
          <w14:textFill>
            <w14:solidFill>
              <w14:schemeClr w14:val="tx1"/>
            </w14:solidFill>
          </w14:textFill>
        </w:rPr>
      </w:pPr>
      <w:r>
        <w:rPr>
          <w:rFonts w:hint="eastAsia" w:ascii="方正黑体_GBK" w:hAnsi="方正黑体_GBK" w:eastAsia="方正黑体_GBK" w:cs="方正黑体_GBK"/>
          <w:color w:val="000000" w:themeColor="text1"/>
          <w:sz w:val="32"/>
          <w:szCs w:val="32"/>
          <w14:textFill>
            <w14:solidFill>
              <w14:schemeClr w14:val="tx1"/>
            </w14:solidFill>
          </w14:textFill>
        </w:rPr>
        <w:t>一、学分要求</w:t>
      </w:r>
    </w:p>
    <w:p>
      <w:pPr>
        <w:spacing w:line="560" w:lineRule="exact"/>
        <w:ind w:firstLine="64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继续医学教育实行学分制，</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县级及以上机构</w:t>
      </w:r>
      <w:r>
        <w:rPr>
          <w:rFonts w:hint="eastAsia" w:ascii="方正仿宋_GBK" w:hAnsi="方正仿宋_GBK" w:eastAsia="方正仿宋_GBK" w:cs="方正仿宋_GBK"/>
          <w:color w:val="000000" w:themeColor="text1"/>
          <w:sz w:val="32"/>
          <w:szCs w:val="32"/>
          <w14:textFill>
            <w14:solidFill>
              <w14:schemeClr w14:val="tx1"/>
            </w14:solidFill>
          </w14:textFill>
        </w:rPr>
        <w:t>卫生专业技术人员每年所获学分累计不低于25学分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，乡镇卫生院、社区卫生服务中心人员学分不低于</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15分，村卫生室、社区卫生服务站人员</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学分不低于</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10分</w:t>
      </w:r>
      <w:r>
        <w:rPr>
          <w:rFonts w:hint="eastAsia" w:ascii="方正仿宋_GBK" w:hAnsi="方正仿宋_GBK" w:eastAsia="方正仿宋_GBK" w:cs="方正仿宋_GBK"/>
          <w:color w:val="000000" w:themeColor="text1"/>
          <w:sz w:val="32"/>
          <w:szCs w:val="32"/>
          <w14:textFill>
            <w14:solidFill>
              <w14:schemeClr w14:val="tx1"/>
            </w14:solidFill>
          </w14:textFill>
        </w:rPr>
        <w:t>。</w:t>
      </w:r>
    </w:p>
    <w:p>
      <w:pPr>
        <w:spacing w:line="560" w:lineRule="exact"/>
        <w:ind w:firstLine="640"/>
        <w:rPr>
          <w:rFonts w:hint="eastAsia" w:ascii="方正黑体_GBK" w:hAnsi="方正黑体_GBK" w:eastAsia="方正黑体_GBK" w:cs="方正黑体_GBK"/>
          <w:color w:val="000000" w:themeColor="text1"/>
          <w:sz w:val="32"/>
          <w:szCs w:val="32"/>
          <w14:textFill>
            <w14:solidFill>
              <w14:schemeClr w14:val="tx1"/>
            </w14:solidFill>
          </w14:textFill>
        </w:rPr>
      </w:pPr>
      <w:r>
        <w:rPr>
          <w:rFonts w:hint="eastAsia" w:ascii="方正黑体_GBK" w:hAnsi="方正黑体_GBK" w:eastAsia="方正黑体_GBK" w:cs="方正黑体_GBK"/>
          <w:color w:val="000000" w:themeColor="text1"/>
          <w:sz w:val="32"/>
          <w:szCs w:val="32"/>
          <w14:textFill>
            <w14:solidFill>
              <w14:schemeClr w14:val="tx1"/>
            </w14:solidFill>
          </w14:textFill>
        </w:rPr>
        <w:t>二、可授予学分的继续医学教育活动</w:t>
      </w:r>
    </w:p>
    <w:p>
      <w:pPr>
        <w:spacing w:line="560" w:lineRule="exact"/>
        <w:ind w:firstLine="64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卫生专业技术人员参加继续医学教育项目、进修学习、中医药师承教育、在职学历（学位）教育、毕业后医学教育、政府指令性医疗卫生任务、有组织的继续医学教育实践活动、有计划的自学以及符合规定的其他方式等，可获得相应学分。</w:t>
      </w:r>
    </w:p>
    <w:p>
      <w:pPr>
        <w:spacing w:line="560" w:lineRule="exact"/>
        <w:ind w:firstLine="640"/>
        <w:rPr>
          <w:rFonts w:hint="eastAsia" w:ascii="方正楷体_GBK" w:hAnsi="方正楷体_GBK" w:eastAsia="方正楷体_GBK" w:cs="方正楷体_GBK"/>
          <w:color w:val="000000" w:themeColor="text1"/>
          <w:sz w:val="32"/>
          <w:szCs w:val="32"/>
          <w14:textFill>
            <w14:solidFill>
              <w14:schemeClr w14:val="tx1"/>
            </w14:solidFill>
          </w14:textFill>
        </w:rPr>
      </w:pPr>
      <w:bookmarkStart w:id="0" w:name="_Hlk200610786"/>
      <w:r>
        <w:rPr>
          <w:rFonts w:hint="eastAsia" w:ascii="方正楷体_GBK" w:hAnsi="方正楷体_GBK" w:eastAsia="方正楷体_GBK" w:cs="方正楷体_GBK"/>
          <w:color w:val="000000" w:themeColor="text1"/>
          <w:sz w:val="32"/>
          <w:szCs w:val="32"/>
          <w14:textFill>
            <w14:solidFill>
              <w14:schemeClr w14:val="tx1"/>
            </w14:solidFill>
          </w14:textFill>
        </w:rPr>
        <w:t>（一）继续医学教育项目</w:t>
      </w:r>
    </w:p>
    <w:p>
      <w:pPr>
        <w:spacing w:line="560" w:lineRule="exact"/>
        <w:ind w:firstLine="64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是指具有明确教学目标和考核评价手段，在规定时间内完成的继续医学教育活动，</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涵盖</w:t>
      </w:r>
      <w:r>
        <w:rPr>
          <w:rFonts w:hint="eastAsia" w:ascii="方正仿宋_GBK" w:hAnsi="方正仿宋_GBK" w:eastAsia="方正仿宋_GBK" w:cs="方正仿宋_GBK"/>
          <w:color w:val="000000" w:themeColor="text1"/>
          <w:sz w:val="32"/>
          <w:szCs w:val="32"/>
          <w14:textFill>
            <w14:solidFill>
              <w14:schemeClr w14:val="tx1"/>
            </w14:solidFill>
          </w14:textFill>
        </w:rPr>
        <w:t>继续医学教育推荐项目和继续医学教育推广项目</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，包括</w:t>
      </w:r>
      <w:r>
        <w:rPr>
          <w:rFonts w:hint="eastAsia" w:ascii="方正仿宋_GBK" w:hAnsi="方正仿宋_GBK" w:eastAsia="方正仿宋_GBK" w:cs="方正仿宋_GBK"/>
          <w:color w:val="000000" w:themeColor="text1"/>
          <w:sz w:val="32"/>
          <w:szCs w:val="32"/>
          <w14:textFill>
            <w14:solidFill>
              <w14:schemeClr w14:val="tx1"/>
            </w14:solidFill>
          </w14:textFill>
        </w:rPr>
        <w:t>国家级、省级和州（市）级项目。</w:t>
      </w:r>
    </w:p>
    <w:p>
      <w:pPr>
        <w:spacing w:line="560" w:lineRule="exact"/>
        <w:ind w:firstLine="64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继续医学教育推荐项目立足卫生健康事业发展需要，体现先进性、前瞻性。国家和省级卫生健康委定期发布项目申办要求，广泛征集各地优质资源。各级卫生健康行政部门、委所属和联系有关单位等按要求推荐，经组织专家遴选后，将符合条件的继续医学教育项目定期向社会公布，供各地卫生专业技术人员选择。</w:t>
      </w:r>
    </w:p>
    <w:p>
      <w:pPr>
        <w:spacing w:line="560" w:lineRule="exact"/>
        <w:ind w:firstLine="64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继续医学教育推广项目由国家和省级卫生健康委围绕</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健康中国</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健康云南建设、深化医药卫生体制改革、科技创新与成果转化等重大部署和年度重点工作任务设立，根据需要适时公布。推广项目主要包括面向基层的相关专业技术培训，以及传染病防控、突发公共卫生事件应急处置、医学技术新进展等各类专项培训，各级卫生健康行政部门按要求组织卫生专业技术人员参加。</w:t>
      </w:r>
    </w:p>
    <w:bookmarkEnd w:id="0"/>
    <w:p>
      <w:pPr>
        <w:spacing w:line="560" w:lineRule="exact"/>
        <w:ind w:firstLine="64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1.国家级继续医学教育项目（授予国家级学分）包括：国家卫生健康委、中医药局、疾控局评审公布的推荐项目、推广项目、基地项目、远程项目等。</w:t>
      </w:r>
    </w:p>
    <w:p>
      <w:pPr>
        <w:spacing w:line="560" w:lineRule="exact"/>
        <w:ind w:firstLine="64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14:textFill>
            <w14:solidFill>
              <w14:schemeClr w14:val="tx1"/>
            </w14:solidFill>
          </w14:textFill>
        </w:rPr>
        <w:t>2.省级继续医学教育项目（授予省级学分）包括：</w:t>
      </w:r>
      <w:r>
        <w:rPr>
          <w:rFonts w:hint="eastAsia" w:ascii="方正仿宋_GBK" w:hAnsi="方正仿宋_GBK" w:eastAsia="方正仿宋_GBK" w:cs="方正仿宋_GBK"/>
          <w:color w:val="000000" w:themeColor="text1"/>
          <w:sz w:val="32"/>
          <w:szCs w:val="32"/>
          <w14:textFill>
            <w14:solidFill>
              <w14:schemeClr w14:val="tx1"/>
            </w14:solidFill>
          </w14:textFill>
        </w:rPr>
        <w:t>省卫生健康委、省疾控局评审公布的推荐项目、推广项目、基地项目、远程项目等。滇沪合作协议中经上海市卫生健康委员会批准的项目；老中医药专家学术经验继承工作项目。</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3.州（市）级卫生健康委评审公布的项目（授予州、市级学分）。</w:t>
      </w:r>
    </w:p>
    <w:p>
      <w:pPr>
        <w:spacing w:line="560" w:lineRule="exact"/>
        <w:ind w:firstLine="640" w:firstLineChars="200"/>
        <w:rPr>
          <w:rFonts w:hint="eastAsia" w:ascii="方正楷体_GBK" w:hAnsi="方正楷体_GBK" w:eastAsia="方正楷体_GBK" w:cs="方正楷体_GBK"/>
          <w:color w:val="000000" w:themeColor="text1"/>
          <w:sz w:val="32"/>
          <w:szCs w:val="32"/>
          <w14:textFill>
            <w14:solidFill>
              <w14:schemeClr w14:val="tx1"/>
            </w14:solidFill>
          </w14:textFill>
        </w:rPr>
      </w:pPr>
      <w:r>
        <w:rPr>
          <w:rFonts w:hint="eastAsia" w:ascii="方正楷体_GBK" w:hAnsi="方正楷体_GBK" w:eastAsia="方正楷体_GBK" w:cs="方正楷体_GBK"/>
          <w:color w:val="000000" w:themeColor="text1"/>
          <w:sz w:val="32"/>
          <w:szCs w:val="32"/>
          <w14:textFill>
            <w14:solidFill>
              <w14:schemeClr w14:val="tx1"/>
            </w14:solidFill>
          </w14:textFill>
        </w:rPr>
        <w:t>（二）进修学习</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指经用人单位批准，脱产到</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其他</w:t>
      </w:r>
      <w:r>
        <w:rPr>
          <w:rFonts w:hint="eastAsia" w:ascii="方正仿宋_GBK" w:hAnsi="方正仿宋_GBK" w:eastAsia="方正仿宋_GBK" w:cs="方正仿宋_GBK"/>
          <w:color w:val="000000" w:themeColor="text1"/>
          <w:sz w:val="32"/>
          <w:szCs w:val="32"/>
          <w14:textFill>
            <w14:solidFill>
              <w14:schemeClr w14:val="tx1"/>
            </w14:solidFill>
          </w14:textFill>
        </w:rPr>
        <w:t>医疗卫生机构进修、出国学习，或参加提高岗位胜任能力为目标的各类专项培训等。</w:t>
      </w:r>
    </w:p>
    <w:p>
      <w:pPr>
        <w:spacing w:line="560" w:lineRule="exact"/>
        <w:ind w:firstLine="640" w:firstLineChars="200"/>
        <w:rPr>
          <w:rFonts w:hint="eastAsia" w:ascii="方正楷体_GBK" w:hAnsi="方正楷体_GBK" w:eastAsia="方正楷体_GBK" w:cs="方正楷体_GBK"/>
          <w:color w:val="000000" w:themeColor="text1"/>
          <w:sz w:val="32"/>
          <w:szCs w:val="32"/>
          <w14:textFill>
            <w14:solidFill>
              <w14:schemeClr w14:val="tx1"/>
            </w14:solidFill>
          </w14:textFill>
        </w:rPr>
      </w:pPr>
      <w:r>
        <w:rPr>
          <w:rFonts w:hint="eastAsia" w:ascii="方正楷体_GBK" w:hAnsi="方正楷体_GBK" w:eastAsia="方正楷体_GBK" w:cs="方正楷体_GBK"/>
          <w:color w:val="000000" w:themeColor="text1"/>
          <w:sz w:val="32"/>
          <w:szCs w:val="32"/>
          <w14:textFill>
            <w14:solidFill>
              <w14:schemeClr w14:val="tx1"/>
            </w14:solidFill>
          </w14:textFill>
        </w:rPr>
        <w:t>（三）中医药师承教育</w:t>
      </w:r>
    </w:p>
    <w:p>
      <w:pPr>
        <w:spacing w:line="560" w:lineRule="exact"/>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楷体_GBK" w:hAnsi="方正楷体_GBK" w:eastAsia="方正楷体_GBK" w:cs="方正楷体_GBK"/>
          <w:color w:val="000000" w:themeColor="text1"/>
          <w:sz w:val="32"/>
          <w:szCs w:val="32"/>
          <w14:textFill>
            <w14:solidFill>
              <w14:schemeClr w14:val="tx1"/>
            </w14:solidFill>
          </w14:textFill>
        </w:rPr>
        <w:t xml:space="preserve">   </w:t>
      </w:r>
      <w:r>
        <w:rPr>
          <w:rFonts w:hint="eastAsia" w:ascii="方正仿宋_GBK" w:hAnsi="方正仿宋_GBK" w:eastAsia="方正仿宋_GBK" w:cs="方正仿宋_GBK"/>
          <w:color w:val="000000" w:themeColor="text1"/>
          <w:sz w:val="32"/>
          <w:szCs w:val="32"/>
          <w14:textFill>
            <w14:solidFill>
              <w14:schemeClr w14:val="tx1"/>
            </w14:solidFill>
          </w14:textFill>
        </w:rPr>
        <w:t xml:space="preserve"> 指按照《中医药专业技术人员师承教育管理办法》要求，经用人单位批准、经指导老师所在单位同意并备案且签订师承教育协议的跟师学习。</w:t>
      </w:r>
    </w:p>
    <w:p>
      <w:pPr>
        <w:spacing w:line="560" w:lineRule="exact"/>
        <w:ind w:firstLine="640" w:firstLineChars="200"/>
        <w:rPr>
          <w:rFonts w:hint="eastAsia" w:ascii="方正楷体_GBK" w:hAnsi="方正楷体_GBK" w:eastAsia="方正楷体_GBK" w:cs="方正楷体_GBK"/>
          <w:color w:val="000000" w:themeColor="text1"/>
          <w:sz w:val="32"/>
          <w:szCs w:val="32"/>
          <w14:textFill>
            <w14:solidFill>
              <w14:schemeClr w14:val="tx1"/>
            </w14:solidFill>
          </w14:textFill>
        </w:rPr>
      </w:pPr>
      <w:r>
        <w:rPr>
          <w:rFonts w:hint="eastAsia" w:ascii="方正楷体_GBK" w:hAnsi="方正楷体_GBK" w:eastAsia="方正楷体_GBK" w:cs="方正楷体_GBK"/>
          <w:color w:val="000000" w:themeColor="text1"/>
          <w:sz w:val="32"/>
          <w:szCs w:val="32"/>
          <w14:textFill>
            <w14:solidFill>
              <w14:schemeClr w14:val="tx1"/>
            </w14:solidFill>
          </w14:textFill>
        </w:rPr>
        <w:t>（四）在职学历（学位）教育</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指经用人单位批准，参加脱产或半脱产学历（学位）教育等。</w:t>
      </w:r>
    </w:p>
    <w:p>
      <w:pPr>
        <w:spacing w:line="560" w:lineRule="exact"/>
        <w:ind w:firstLine="640" w:firstLineChars="200"/>
        <w:rPr>
          <w:rFonts w:hint="eastAsia" w:ascii="方正楷体_GBK" w:hAnsi="方正楷体_GBK" w:eastAsia="方正楷体_GBK" w:cs="方正楷体_GBK"/>
          <w:color w:val="000000" w:themeColor="text1"/>
          <w:sz w:val="32"/>
          <w:szCs w:val="32"/>
          <w14:textFill>
            <w14:solidFill>
              <w14:schemeClr w14:val="tx1"/>
            </w14:solidFill>
          </w14:textFill>
        </w:rPr>
      </w:pPr>
      <w:bookmarkStart w:id="1" w:name="OLE_LINK2"/>
      <w:r>
        <w:rPr>
          <w:rFonts w:hint="eastAsia" w:ascii="方正楷体_GBK" w:hAnsi="方正楷体_GBK" w:eastAsia="方正楷体_GBK" w:cs="方正楷体_GBK"/>
          <w:color w:val="000000" w:themeColor="text1"/>
          <w:sz w:val="32"/>
          <w:szCs w:val="32"/>
          <w14:textFill>
            <w14:solidFill>
              <w14:schemeClr w14:val="tx1"/>
            </w14:solidFill>
          </w14:textFill>
        </w:rPr>
        <w:t>（五）毕业后医学教育</w:t>
      </w:r>
      <w:bookmarkEnd w:id="1"/>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指医学生在完成院校教育后进行的规范化培训。</w:t>
      </w:r>
    </w:p>
    <w:p>
      <w:pPr>
        <w:spacing w:line="560" w:lineRule="exact"/>
        <w:ind w:firstLine="640" w:firstLineChars="200"/>
        <w:rPr>
          <w:rFonts w:hint="eastAsia" w:ascii="方正楷体_GBK" w:hAnsi="方正楷体_GBK" w:eastAsia="方正楷体_GBK" w:cs="方正楷体_GBK"/>
          <w:color w:val="000000" w:themeColor="text1"/>
          <w:sz w:val="32"/>
          <w:szCs w:val="32"/>
          <w14:textFill>
            <w14:solidFill>
              <w14:schemeClr w14:val="tx1"/>
            </w14:solidFill>
          </w14:textFill>
        </w:rPr>
      </w:pPr>
      <w:r>
        <w:rPr>
          <w:rFonts w:hint="eastAsia" w:ascii="方正楷体_GBK" w:hAnsi="方正楷体_GBK" w:eastAsia="方正楷体_GBK" w:cs="方正楷体_GBK"/>
          <w:color w:val="000000" w:themeColor="text1"/>
          <w:sz w:val="32"/>
          <w:szCs w:val="32"/>
          <w14:textFill>
            <w14:solidFill>
              <w14:schemeClr w14:val="tx1"/>
            </w14:solidFill>
          </w14:textFill>
        </w:rPr>
        <w:t>（六）政府指令性医疗卫生任务</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指参加政府要求的援派医疗卫生任务，包括卫生支农、公立医院支援社区卫生、对口支援帮扶基层医疗卫生机构，对我省欠发达地区、脱贫地区、三区三州对口支援帮扶、援外（援藏）医疗队等援派工作。</w:t>
      </w:r>
    </w:p>
    <w:p>
      <w:pPr>
        <w:spacing w:line="560" w:lineRule="exact"/>
        <w:ind w:firstLine="640" w:firstLineChars="200"/>
        <w:rPr>
          <w:rFonts w:hint="eastAsia" w:ascii="方正楷体_GBK" w:hAnsi="方正楷体_GBK" w:eastAsia="方正楷体_GBK" w:cs="方正楷体_GBK"/>
          <w:color w:val="000000" w:themeColor="text1"/>
          <w:sz w:val="32"/>
          <w:szCs w:val="32"/>
          <w14:textFill>
            <w14:solidFill>
              <w14:schemeClr w14:val="tx1"/>
            </w14:solidFill>
          </w14:textFill>
        </w:rPr>
      </w:pPr>
      <w:r>
        <w:rPr>
          <w:rFonts w:hint="eastAsia" w:ascii="方正楷体_GBK" w:hAnsi="方正楷体_GBK" w:eastAsia="方正楷体_GBK" w:cs="方正楷体_GBK"/>
          <w:color w:val="000000" w:themeColor="text1"/>
          <w:sz w:val="32"/>
          <w:szCs w:val="32"/>
          <w14:textFill>
            <w14:solidFill>
              <w14:schemeClr w14:val="tx1"/>
            </w14:solidFill>
          </w14:textFill>
        </w:rPr>
        <w:t>（七）有组织的继续医学教育实践活动</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指以手术示范、新技术推广、多学科诊疗、教学病例讨论、科技成果转化活动等形式开展的实践锻炼，包括但不限于基于模拟场景的各类实操培训班，以研讨学术问题为核心的各类培训、工作坊、学术会议等形式的实践活动。</w:t>
      </w:r>
    </w:p>
    <w:p>
      <w:pPr>
        <w:numPr>
          <w:ilvl w:val="0"/>
          <w:numId w:val="1"/>
        </w:numPr>
        <w:spacing w:line="560" w:lineRule="exact"/>
        <w:ind w:firstLine="640" w:firstLineChars="200"/>
        <w:rPr>
          <w:rFonts w:hint="eastAsia" w:ascii="方正楷体_GBK" w:hAnsi="方正楷体_GBK" w:eastAsia="方正楷体_GBK" w:cs="方正楷体_GBK"/>
          <w:color w:val="000000" w:themeColor="text1"/>
          <w:sz w:val="32"/>
          <w:szCs w:val="32"/>
          <w14:textFill>
            <w14:solidFill>
              <w14:schemeClr w14:val="tx1"/>
            </w14:solidFill>
          </w14:textFill>
        </w:rPr>
      </w:pPr>
      <w:r>
        <w:rPr>
          <w:rFonts w:hint="eastAsia" w:ascii="方正楷体_GBK" w:hAnsi="方正楷体_GBK" w:eastAsia="方正楷体_GBK" w:cs="方正楷体_GBK"/>
          <w:color w:val="000000" w:themeColor="text1"/>
          <w:sz w:val="32"/>
          <w:szCs w:val="32"/>
          <w14:textFill>
            <w14:solidFill>
              <w14:schemeClr w14:val="tx1"/>
            </w14:solidFill>
          </w14:textFill>
        </w:rPr>
        <w:t>有计划的自学</w:t>
      </w:r>
    </w:p>
    <w:p>
      <w:pPr>
        <w:numPr>
          <w:ilvl w:val="-1"/>
          <w:numId w:val="0"/>
        </w:num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指经用人单位批准，制定年度自学计划，基于岗位胜任力开展的多种形式的自学方式，包括但不限于参加授课或带教、参与专业考试命题、开展健康宣教、发表论文、出版著作、承担教学和科研课题等。</w:t>
      </w:r>
    </w:p>
    <w:p>
      <w:pPr>
        <w:spacing w:line="560" w:lineRule="exact"/>
        <w:ind w:firstLine="640" w:firstLineChars="200"/>
        <w:rPr>
          <w:rFonts w:hint="eastAsia" w:ascii="方正黑体_GBK" w:hAnsi="方正黑体_GBK" w:eastAsia="方正黑体_GBK" w:cs="方正黑体_GBK"/>
          <w:color w:val="000000" w:themeColor="text1"/>
          <w:sz w:val="32"/>
          <w:szCs w:val="32"/>
          <w14:textFill>
            <w14:solidFill>
              <w14:schemeClr w14:val="tx1"/>
            </w14:solidFill>
          </w14:textFill>
        </w:rPr>
      </w:pPr>
      <w:r>
        <w:rPr>
          <w:rFonts w:hint="eastAsia" w:ascii="方正楷体_GBK" w:hAnsi="方正楷体_GBK" w:eastAsia="方正楷体_GBK" w:cs="方正楷体_GBK"/>
          <w:color w:val="000000" w:themeColor="text1"/>
          <w:sz w:val="32"/>
          <w:szCs w:val="32"/>
          <w14:textFill>
            <w14:solidFill>
              <w14:schemeClr w14:val="tx1"/>
            </w14:solidFill>
          </w14:textFill>
        </w:rPr>
        <w:t>（</w:t>
      </w:r>
      <w:r>
        <w:rPr>
          <w:rFonts w:hint="eastAsia" w:ascii="方正楷体_GBK" w:hAnsi="方正楷体_GBK" w:eastAsia="方正楷体_GBK" w:cs="方正楷体_GBK"/>
          <w:color w:val="000000" w:themeColor="text1"/>
          <w:sz w:val="32"/>
          <w:szCs w:val="32"/>
          <w:lang w:eastAsia="zh-CN"/>
          <w14:textFill>
            <w14:solidFill>
              <w14:schemeClr w14:val="tx1"/>
            </w14:solidFill>
          </w14:textFill>
        </w:rPr>
        <w:t>九</w:t>
      </w:r>
      <w:r>
        <w:rPr>
          <w:rFonts w:hint="eastAsia" w:ascii="方正楷体_GBK" w:hAnsi="方正楷体_GBK" w:eastAsia="方正楷体_GBK" w:cs="方正楷体_GBK"/>
          <w:color w:val="000000" w:themeColor="text1"/>
          <w:sz w:val="32"/>
          <w:szCs w:val="32"/>
          <w14:textFill>
            <w14:solidFill>
              <w14:schemeClr w14:val="tx1"/>
            </w14:solidFill>
          </w14:textFill>
        </w:rPr>
        <w:t>）符合规定的其他形式。</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黑体_GBK" w:hAnsi="方正黑体_GBK" w:eastAsia="方正黑体_GBK" w:cs="方正黑体_GBK"/>
          <w:color w:val="000000" w:themeColor="text1"/>
          <w:sz w:val="32"/>
          <w:szCs w:val="32"/>
          <w14:textFill>
            <w14:solidFill>
              <w14:schemeClr w14:val="tx1"/>
            </w14:solidFill>
          </w14:textFill>
        </w:rPr>
        <w:t>三、学分授予标准和计算方法</w:t>
      </w:r>
    </w:p>
    <w:p>
      <w:pPr>
        <w:spacing w:line="560" w:lineRule="exact"/>
        <w:ind w:firstLine="640" w:firstLineChars="200"/>
        <w:rPr>
          <w:rFonts w:hint="eastAsia" w:ascii="方正楷体_GBK" w:hAnsi="方正楷体_GBK" w:eastAsia="方正楷体_GBK" w:cs="方正楷体_GBK"/>
          <w:color w:val="000000" w:themeColor="text1"/>
          <w:sz w:val="32"/>
          <w:szCs w:val="32"/>
          <w14:textFill>
            <w14:solidFill>
              <w14:schemeClr w14:val="tx1"/>
            </w14:solidFill>
          </w14:textFill>
        </w:rPr>
      </w:pPr>
      <w:r>
        <w:rPr>
          <w:rFonts w:hint="eastAsia" w:ascii="方正楷体_GBK" w:hAnsi="方正楷体_GBK" w:eastAsia="方正楷体_GBK" w:cs="方正楷体_GBK"/>
          <w:color w:val="000000" w:themeColor="text1"/>
          <w:sz w:val="32"/>
          <w:szCs w:val="32"/>
          <w14:textFill>
            <w14:solidFill>
              <w14:schemeClr w14:val="tx1"/>
            </w14:solidFill>
          </w14:textFill>
        </w:rPr>
        <w:t>（一）继续医学教育项目</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国家和省级卫生健康委公布的继续医学教育项目，参加者经考核合格，按每3小时授予1学分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主讲人每小时授予2学分计算。每个项目最多不超过10学分，其中每个远程继续医学教育项目不超过3学分。</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州（市）级卫生健康委公布的继续医学教育项目</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并</w:t>
      </w:r>
      <w:r>
        <w:rPr>
          <w:rFonts w:hint="eastAsia" w:ascii="方正仿宋_GBK" w:hAnsi="方正仿宋_GBK" w:eastAsia="方正仿宋_GBK" w:cs="方正仿宋_GBK"/>
          <w:color w:val="000000" w:themeColor="text1"/>
          <w:sz w:val="32"/>
          <w:szCs w:val="32"/>
          <w14:textFill>
            <w14:solidFill>
              <w14:schemeClr w14:val="tx1"/>
            </w14:solidFill>
          </w14:textFill>
        </w:rPr>
        <w:t>经省卫生健康委备案，参加者经考核合格，按4小时授予1学分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主讲人每小时授予1学分，每个项目最多授予5学分。</w:t>
      </w:r>
    </w:p>
    <w:p>
      <w:pPr>
        <w:spacing w:line="560" w:lineRule="exact"/>
        <w:ind w:firstLine="640" w:firstLineChars="200"/>
        <w:rPr>
          <w:rFonts w:hint="eastAsia" w:ascii="方正楷体_GBK" w:hAnsi="方正楷体_GBK" w:eastAsia="方正楷体_GBK" w:cs="方正楷体_GBK"/>
          <w:color w:val="000000" w:themeColor="text1"/>
          <w:sz w:val="32"/>
          <w:szCs w:val="32"/>
          <w14:textFill>
            <w14:solidFill>
              <w14:schemeClr w14:val="tx1"/>
            </w14:solidFill>
          </w14:textFill>
        </w:rPr>
      </w:pPr>
      <w:r>
        <w:rPr>
          <w:rFonts w:hint="eastAsia" w:ascii="方正楷体_GBK" w:hAnsi="方正楷体_GBK" w:eastAsia="方正楷体_GBK" w:cs="方正楷体_GBK"/>
          <w:color w:val="000000" w:themeColor="text1"/>
          <w:sz w:val="32"/>
          <w:szCs w:val="32"/>
          <w14:textFill>
            <w14:solidFill>
              <w14:schemeClr w14:val="tx1"/>
            </w14:solidFill>
          </w14:textFill>
        </w:rPr>
        <w:t>（二）进修学习</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当年累计学习时间满3个月</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并</w:t>
      </w:r>
      <w:r>
        <w:rPr>
          <w:rFonts w:hint="eastAsia" w:ascii="方正仿宋_GBK" w:hAnsi="方正仿宋_GBK" w:eastAsia="方正仿宋_GBK" w:cs="方正仿宋_GBK"/>
          <w:color w:val="000000" w:themeColor="text1"/>
          <w:sz w:val="32"/>
          <w:szCs w:val="32"/>
          <w14:textFill>
            <w14:solidFill>
              <w14:schemeClr w14:val="tx1"/>
            </w14:solidFill>
          </w14:textFill>
        </w:rPr>
        <w:t>考核合格，视为完成当年继续医学</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教育</w:t>
      </w:r>
      <w:r>
        <w:rPr>
          <w:rFonts w:hint="eastAsia" w:ascii="方正仿宋_GBK" w:hAnsi="方正仿宋_GBK" w:eastAsia="方正仿宋_GBK" w:cs="方正仿宋_GBK"/>
          <w:color w:val="000000" w:themeColor="text1"/>
          <w:sz w:val="32"/>
          <w:szCs w:val="32"/>
          <w14:textFill>
            <w14:solidFill>
              <w14:schemeClr w14:val="tx1"/>
            </w14:solidFill>
          </w14:textFill>
        </w:rPr>
        <w:t>25学分，跨年</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度</w:t>
      </w:r>
      <w:r>
        <w:rPr>
          <w:rFonts w:hint="eastAsia" w:ascii="方正仿宋_GBK" w:hAnsi="方正仿宋_GBK" w:eastAsia="方正仿宋_GBK" w:cs="方正仿宋_GBK"/>
          <w:color w:val="000000" w:themeColor="text1"/>
          <w:sz w:val="32"/>
          <w:szCs w:val="32"/>
          <w14:textFill>
            <w14:solidFill>
              <w14:schemeClr w14:val="tx1"/>
            </w14:solidFill>
          </w14:textFill>
        </w:rPr>
        <w:t>的</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以进修结业当年计算</w:t>
      </w:r>
      <w:r>
        <w:rPr>
          <w:rFonts w:hint="eastAsia" w:ascii="方正仿宋_GBK" w:hAnsi="方正仿宋_GBK" w:eastAsia="方正仿宋_GBK" w:cs="方正仿宋_GBK"/>
          <w:color w:val="000000" w:themeColor="text1"/>
          <w:sz w:val="32"/>
          <w:szCs w:val="32"/>
          <w14:textFill>
            <w14:solidFill>
              <w14:schemeClr w14:val="tx1"/>
            </w14:solidFill>
          </w14:textFill>
        </w:rPr>
        <w:t>。不足3个月，按每月授予5学分计算。当年累计学习时间满6个月及以上</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并</w:t>
      </w:r>
      <w:r>
        <w:rPr>
          <w:rFonts w:hint="eastAsia" w:ascii="方正仿宋_GBK" w:hAnsi="方正仿宋_GBK" w:eastAsia="方正仿宋_GBK" w:cs="方正仿宋_GBK"/>
          <w:color w:val="000000" w:themeColor="text1"/>
          <w:sz w:val="32"/>
          <w:szCs w:val="32"/>
          <w14:textFill>
            <w14:solidFill>
              <w14:schemeClr w14:val="tx1"/>
            </w14:solidFill>
          </w14:textFill>
        </w:rPr>
        <w:t>考核合格，视为完成当年和次年继续医学教育25学分。</w:t>
      </w:r>
    </w:p>
    <w:p>
      <w:pPr>
        <w:spacing w:line="560" w:lineRule="exact"/>
        <w:ind w:firstLine="640" w:firstLineChars="200"/>
        <w:rPr>
          <w:rFonts w:hint="eastAsia" w:ascii="方正楷体_GBK" w:hAnsi="方正楷体_GBK" w:eastAsia="方正楷体_GBK" w:cs="方正楷体_GBK"/>
          <w:color w:val="000000" w:themeColor="text1"/>
          <w:sz w:val="32"/>
          <w:szCs w:val="32"/>
          <w14:textFill>
            <w14:solidFill>
              <w14:schemeClr w14:val="tx1"/>
            </w14:solidFill>
          </w14:textFill>
        </w:rPr>
      </w:pPr>
      <w:r>
        <w:rPr>
          <w:rFonts w:hint="eastAsia" w:ascii="方正楷体_GBK" w:hAnsi="方正楷体_GBK" w:eastAsia="方正楷体_GBK" w:cs="方正楷体_GBK"/>
          <w:color w:val="000000" w:themeColor="text1"/>
          <w:sz w:val="32"/>
          <w:szCs w:val="32"/>
          <w14:textFill>
            <w14:solidFill>
              <w14:schemeClr w14:val="tx1"/>
            </w14:solidFill>
          </w14:textFill>
        </w:rPr>
        <w:t>（三）中医药师承教育</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当年累计跟师时间满3个月且经指导老师</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评价</w:t>
      </w:r>
      <w:r>
        <w:rPr>
          <w:rFonts w:hint="eastAsia" w:ascii="方正仿宋_GBK" w:hAnsi="方正仿宋_GBK" w:eastAsia="方正仿宋_GBK" w:cs="方正仿宋_GBK"/>
          <w:color w:val="000000" w:themeColor="text1"/>
          <w:sz w:val="32"/>
          <w:szCs w:val="32"/>
          <w14:textFill>
            <w14:solidFill>
              <w14:schemeClr w14:val="tx1"/>
            </w14:solidFill>
          </w14:textFill>
        </w:rPr>
        <w:t>认可并</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出具</w:t>
      </w:r>
      <w:r>
        <w:rPr>
          <w:rFonts w:hint="eastAsia" w:ascii="方正仿宋_GBK" w:hAnsi="方正仿宋_GBK" w:eastAsia="方正仿宋_GBK" w:cs="方正仿宋_GBK"/>
          <w:color w:val="000000" w:themeColor="text1"/>
          <w:sz w:val="32"/>
          <w:szCs w:val="32"/>
          <w14:textFill>
            <w14:solidFill>
              <w14:schemeClr w14:val="tx1"/>
            </w14:solidFill>
          </w14:textFill>
        </w:rPr>
        <w:t>证明</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材料</w:t>
      </w:r>
      <w:r>
        <w:rPr>
          <w:rFonts w:hint="eastAsia" w:ascii="方正仿宋_GBK" w:hAnsi="方正仿宋_GBK" w:eastAsia="方正仿宋_GBK" w:cs="方正仿宋_GBK"/>
          <w:color w:val="000000" w:themeColor="text1"/>
          <w:sz w:val="32"/>
          <w:szCs w:val="32"/>
          <w14:textFill>
            <w14:solidFill>
              <w14:schemeClr w14:val="tx1"/>
            </w14:solidFill>
          </w14:textFill>
        </w:rPr>
        <w:t>的，视为完成当年继续医学教育25学分。</w:t>
      </w:r>
    </w:p>
    <w:p>
      <w:pPr>
        <w:spacing w:line="560" w:lineRule="exact"/>
        <w:ind w:firstLine="640" w:firstLineChars="200"/>
        <w:rPr>
          <w:rFonts w:hint="eastAsia" w:ascii="方正楷体_GBK" w:hAnsi="方正楷体_GBK" w:eastAsia="方正楷体_GBK" w:cs="方正楷体_GBK"/>
          <w:color w:val="000000" w:themeColor="text1"/>
          <w:sz w:val="32"/>
          <w:szCs w:val="32"/>
          <w14:textFill>
            <w14:solidFill>
              <w14:schemeClr w14:val="tx1"/>
            </w14:solidFill>
          </w14:textFill>
        </w:rPr>
      </w:pPr>
      <w:r>
        <w:rPr>
          <w:rFonts w:hint="eastAsia" w:ascii="方正楷体_GBK" w:hAnsi="方正楷体_GBK" w:eastAsia="方正楷体_GBK" w:cs="方正楷体_GBK"/>
          <w:color w:val="000000" w:themeColor="text1"/>
          <w:sz w:val="32"/>
          <w:szCs w:val="32"/>
          <w14:textFill>
            <w14:solidFill>
              <w14:schemeClr w14:val="tx1"/>
            </w14:solidFill>
          </w14:textFill>
        </w:rPr>
        <w:t>（四）在职学历（学位）教育</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在规定的学制年限内，年度学习成绩合格者，视为完成当年继续医学教育</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25</w:t>
      </w:r>
      <w:r>
        <w:rPr>
          <w:rFonts w:hint="eastAsia" w:ascii="方正仿宋_GBK" w:hAnsi="方正仿宋_GBK" w:eastAsia="方正仿宋_GBK" w:cs="方正仿宋_GBK"/>
          <w:color w:val="000000" w:themeColor="text1"/>
          <w:sz w:val="32"/>
          <w:szCs w:val="32"/>
          <w14:textFill>
            <w14:solidFill>
              <w14:schemeClr w14:val="tx1"/>
            </w14:solidFill>
          </w14:textFill>
        </w:rPr>
        <w:t>学分。</w:t>
      </w:r>
    </w:p>
    <w:p>
      <w:pPr>
        <w:spacing w:line="560" w:lineRule="exact"/>
        <w:ind w:firstLine="640" w:firstLineChars="200"/>
        <w:rPr>
          <w:rFonts w:hint="eastAsia" w:ascii="方正楷体_GBK" w:hAnsi="方正楷体_GBK" w:eastAsia="方正楷体_GBK" w:cs="方正楷体_GBK"/>
          <w:color w:val="000000" w:themeColor="text1"/>
          <w:sz w:val="32"/>
          <w:szCs w:val="32"/>
          <w14:textFill>
            <w14:solidFill>
              <w14:schemeClr w14:val="tx1"/>
            </w14:solidFill>
          </w14:textFill>
        </w:rPr>
      </w:pPr>
      <w:r>
        <w:rPr>
          <w:rFonts w:hint="eastAsia" w:ascii="方正楷体_GBK" w:hAnsi="方正楷体_GBK" w:eastAsia="方正楷体_GBK" w:cs="方正楷体_GBK"/>
          <w:color w:val="000000" w:themeColor="text1"/>
          <w:sz w:val="32"/>
          <w:szCs w:val="32"/>
          <w14:textFill>
            <w14:solidFill>
              <w14:schemeClr w14:val="tx1"/>
            </w14:solidFill>
          </w14:textFill>
        </w:rPr>
        <w:t>（五）毕业后医学教育</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参加临床住院医师规范化培训、公共卫生医师规范化培训的人员，按照规定的考试、考核成绩合格者，视为完成当年继续医学教育</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25</w:t>
      </w:r>
      <w:r>
        <w:rPr>
          <w:rFonts w:hint="eastAsia" w:ascii="方正仿宋_GBK" w:hAnsi="方正仿宋_GBK" w:eastAsia="方正仿宋_GBK" w:cs="方正仿宋_GBK"/>
          <w:color w:val="000000" w:themeColor="text1"/>
          <w:sz w:val="32"/>
          <w:szCs w:val="32"/>
          <w14:textFill>
            <w14:solidFill>
              <w14:schemeClr w14:val="tx1"/>
            </w14:solidFill>
          </w14:textFill>
        </w:rPr>
        <w:t>学分。</w:t>
      </w:r>
    </w:p>
    <w:p>
      <w:pPr>
        <w:spacing w:line="560" w:lineRule="exact"/>
        <w:ind w:firstLine="640" w:firstLineChars="200"/>
        <w:rPr>
          <w:rFonts w:hint="eastAsia" w:ascii="方正楷体_GBK" w:hAnsi="方正楷体_GBK" w:eastAsia="方正楷体_GBK" w:cs="方正楷体_GBK"/>
          <w:color w:val="000000" w:themeColor="text1"/>
          <w:sz w:val="32"/>
          <w:szCs w:val="32"/>
          <w14:textFill>
            <w14:solidFill>
              <w14:schemeClr w14:val="tx1"/>
            </w14:solidFill>
          </w14:textFill>
        </w:rPr>
      </w:pPr>
      <w:r>
        <w:rPr>
          <w:rFonts w:hint="eastAsia" w:ascii="方正楷体_GBK" w:hAnsi="方正楷体_GBK" w:eastAsia="方正楷体_GBK" w:cs="方正楷体_GBK"/>
          <w:color w:val="000000" w:themeColor="text1"/>
          <w:sz w:val="32"/>
          <w:szCs w:val="32"/>
          <w14:textFill>
            <w14:solidFill>
              <w14:schemeClr w14:val="tx1"/>
            </w14:solidFill>
          </w14:textFill>
        </w:rPr>
        <w:t>（六）政府指令性医疗卫生任务</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当年累计时间满3个月，视为完成当年继续医学教育25学分。不足3个月，按每月授予5学分计算。</w:t>
      </w:r>
    </w:p>
    <w:p>
      <w:pPr>
        <w:numPr>
          <w:ilvl w:val="0"/>
          <w:numId w:val="2"/>
        </w:numPr>
        <w:spacing w:line="560" w:lineRule="exact"/>
        <w:ind w:firstLine="640" w:firstLineChars="200"/>
        <w:rPr>
          <w:rFonts w:hint="eastAsia" w:ascii="方正楷体_GBK" w:hAnsi="方正楷体_GBK" w:eastAsia="方正楷体_GBK" w:cs="方正楷体_GBK"/>
          <w:color w:val="000000" w:themeColor="text1"/>
          <w:sz w:val="32"/>
          <w:szCs w:val="32"/>
          <w14:textFill>
            <w14:solidFill>
              <w14:schemeClr w14:val="tx1"/>
            </w14:solidFill>
          </w14:textFill>
        </w:rPr>
      </w:pPr>
      <w:r>
        <w:rPr>
          <w:rFonts w:hint="eastAsia" w:ascii="方正楷体_GBK" w:hAnsi="方正楷体_GBK" w:eastAsia="方正楷体_GBK" w:cs="方正楷体_GBK"/>
          <w:color w:val="000000" w:themeColor="text1"/>
          <w:sz w:val="32"/>
          <w:szCs w:val="32"/>
          <w14:textFill>
            <w14:solidFill>
              <w14:schemeClr w14:val="tx1"/>
            </w14:solidFill>
          </w14:textFill>
        </w:rPr>
        <w:t>有组织的继续医学教育实践活动</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用人单位继续医学教育主管部门按照学习情况、学习成效等可验证因素，综合评估后授予相应学分，每年最多不超过5学分。</w:t>
      </w:r>
    </w:p>
    <w:p>
      <w:pPr>
        <w:spacing w:line="560" w:lineRule="exact"/>
        <w:ind w:firstLine="640" w:firstLineChars="200"/>
        <w:rPr>
          <w:rFonts w:hint="eastAsia" w:ascii="方正楷体_GBK" w:hAnsi="方正楷体_GBK" w:eastAsia="方正楷体_GBK" w:cs="方正楷体_GBK"/>
          <w:color w:val="000000" w:themeColor="text1"/>
          <w:sz w:val="32"/>
          <w:szCs w:val="32"/>
          <w:lang w:eastAsia="zh-CN"/>
          <w14:textFill>
            <w14:solidFill>
              <w14:schemeClr w14:val="tx1"/>
            </w14:solidFill>
          </w14:textFill>
        </w:rPr>
      </w:pPr>
      <w:r>
        <w:rPr>
          <w:rFonts w:hint="eastAsia" w:ascii="方正楷体_GBK" w:hAnsi="方正楷体_GBK" w:eastAsia="方正楷体_GBK" w:cs="方正楷体_GBK"/>
          <w:color w:val="000000" w:themeColor="text1"/>
          <w:sz w:val="32"/>
          <w:szCs w:val="32"/>
          <w:lang w:eastAsia="zh-CN"/>
          <w14:textFill>
            <w14:solidFill>
              <w14:schemeClr w14:val="tx1"/>
            </w14:solidFill>
          </w14:textFill>
        </w:rPr>
        <w:t>（八）有计划的自学</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1.</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卫生专业技术人员</w:t>
      </w:r>
      <w:r>
        <w:rPr>
          <w:rFonts w:hint="eastAsia" w:ascii="方正仿宋_GBK" w:hAnsi="方正仿宋_GBK" w:eastAsia="方正仿宋_GBK" w:cs="方正仿宋_GBK"/>
          <w:color w:val="000000" w:themeColor="text1"/>
          <w:sz w:val="32"/>
          <w:szCs w:val="32"/>
          <w14:textFill>
            <w14:solidFill>
              <w14:schemeClr w14:val="tx1"/>
            </w14:solidFill>
          </w14:textFill>
        </w:rPr>
        <w:t>自学与本专业有关的知识，应先定出自学计划，经</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所在</w:t>
      </w:r>
      <w:r>
        <w:rPr>
          <w:rFonts w:hint="eastAsia" w:ascii="方正仿宋_GBK" w:hAnsi="方正仿宋_GBK" w:eastAsia="方正仿宋_GBK" w:cs="方正仿宋_GBK"/>
          <w:color w:val="000000" w:themeColor="text1"/>
          <w:sz w:val="32"/>
          <w:szCs w:val="32"/>
          <w14:textFill>
            <w14:solidFill>
              <w14:schemeClr w14:val="tx1"/>
            </w14:solidFill>
          </w14:textFill>
        </w:rPr>
        <w:t>科室</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负责人审核</w:t>
      </w:r>
      <w:r>
        <w:rPr>
          <w:rFonts w:hint="eastAsia" w:ascii="方正仿宋_GBK" w:hAnsi="方正仿宋_GBK" w:eastAsia="方正仿宋_GBK" w:cs="方正仿宋_GBK"/>
          <w:color w:val="000000" w:themeColor="text1"/>
          <w:sz w:val="32"/>
          <w:szCs w:val="32"/>
          <w14:textFill>
            <w14:solidFill>
              <w14:schemeClr w14:val="tx1"/>
            </w14:solidFill>
          </w14:textFill>
        </w:rPr>
        <w:t>同意后执行。完成自学计划，</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撰</w:t>
      </w:r>
      <w:r>
        <w:rPr>
          <w:rFonts w:hint="eastAsia" w:ascii="方正仿宋_GBK" w:hAnsi="方正仿宋_GBK" w:eastAsia="方正仿宋_GBK" w:cs="方正仿宋_GBK"/>
          <w:color w:val="000000" w:themeColor="text1"/>
          <w:sz w:val="32"/>
          <w:szCs w:val="32"/>
          <w14:textFill>
            <w14:solidFill>
              <w14:schemeClr w14:val="tx1"/>
            </w14:solidFill>
          </w14:textFill>
        </w:rPr>
        <w:t>写综述并在科室</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内</w:t>
      </w:r>
      <w:r>
        <w:rPr>
          <w:rFonts w:hint="eastAsia" w:ascii="方正仿宋_GBK" w:hAnsi="方正仿宋_GBK" w:eastAsia="方正仿宋_GBK" w:cs="方正仿宋_GBK"/>
          <w:color w:val="000000" w:themeColor="text1"/>
          <w:sz w:val="32"/>
          <w:szCs w:val="32"/>
          <w14:textFill>
            <w14:solidFill>
              <w14:schemeClr w14:val="tx1"/>
            </w14:solidFill>
          </w14:textFill>
        </w:rPr>
        <w:t>交流，每2000字授予1学分，每年最多不超过2学分。</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2</w:t>
      </w:r>
      <w:r>
        <w:rPr>
          <w:rFonts w:hint="eastAsia" w:ascii="方正仿宋_GBK" w:hAnsi="方正仿宋_GBK" w:eastAsia="方正仿宋_GBK" w:cs="方正仿宋_GBK"/>
          <w:color w:val="000000" w:themeColor="text1"/>
          <w:sz w:val="32"/>
          <w:szCs w:val="32"/>
          <w14:textFill>
            <w14:solidFill>
              <w14:schemeClr w14:val="tx1"/>
            </w14:solidFill>
          </w14:textFill>
        </w:rPr>
        <w:t>.由单位组织的学术报告、专题讲座、健康宣教、承担教学或带教、技术操作示教手术示范、新技术推广等，每次主讲人可授予2学分，参加者授予0.5学分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，每</w:t>
      </w:r>
      <w:r>
        <w:rPr>
          <w:rFonts w:hint="eastAsia" w:ascii="方正仿宋_GBK" w:hAnsi="方正仿宋_GBK" w:eastAsia="方正仿宋_GBK" w:cs="方正仿宋_GBK"/>
          <w:color w:val="000000" w:themeColor="text1"/>
          <w:sz w:val="32"/>
          <w:szCs w:val="32"/>
          <w14:textFill>
            <w14:solidFill>
              <w14:schemeClr w14:val="tx1"/>
            </w14:solidFill>
          </w14:textFill>
        </w:rPr>
        <w:t>年最多不超过5学分。</w:t>
      </w:r>
    </w:p>
    <w:p>
      <w:pPr>
        <w:spacing w:line="560" w:lineRule="exact"/>
        <w:ind w:firstLine="640" w:firstLineChars="200"/>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3</w:t>
      </w:r>
      <w:r>
        <w:rPr>
          <w:rFonts w:hint="eastAsia" w:ascii="方正仿宋_GBK" w:hAnsi="方正仿宋_GBK" w:eastAsia="方正仿宋_GBK" w:cs="方正仿宋_GBK"/>
          <w:color w:val="000000" w:themeColor="text1"/>
          <w:sz w:val="32"/>
          <w:szCs w:val="32"/>
          <w14:textFill>
            <w14:solidFill>
              <w14:schemeClr w14:val="tx1"/>
            </w14:solidFill>
          </w14:textFill>
        </w:rPr>
        <w:t>.临床</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病例</w:t>
      </w:r>
      <w:r>
        <w:rPr>
          <w:rFonts w:hint="eastAsia" w:ascii="方正仿宋_GBK" w:hAnsi="方正仿宋_GBK" w:eastAsia="方正仿宋_GBK" w:cs="方正仿宋_GBK"/>
          <w:color w:val="000000" w:themeColor="text1"/>
          <w:sz w:val="32"/>
          <w:szCs w:val="32"/>
          <w14:textFill>
            <w14:solidFill>
              <w14:schemeClr w14:val="tx1"/>
            </w14:solidFill>
          </w14:textFill>
        </w:rPr>
        <w:t>讨论会、多科室组织的案例讨论会、大查房，每次主讲人可授予1学分，参加者授予0.2学分，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每</w:t>
      </w:r>
      <w:r>
        <w:rPr>
          <w:rFonts w:hint="eastAsia" w:ascii="方正仿宋_GBK" w:hAnsi="方正仿宋_GBK" w:eastAsia="方正仿宋_GBK" w:cs="方正仿宋_GBK"/>
          <w:color w:val="000000" w:themeColor="text1"/>
          <w:sz w:val="32"/>
          <w:szCs w:val="32"/>
          <w14:textFill>
            <w14:solidFill>
              <w14:schemeClr w14:val="tx1"/>
            </w14:solidFill>
          </w14:textFill>
        </w:rPr>
        <w:t>年最多不超过5学分。</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4</w:t>
      </w:r>
      <w:r>
        <w:rPr>
          <w:rFonts w:hint="eastAsia" w:ascii="方正仿宋_GBK" w:hAnsi="方正仿宋_GBK" w:eastAsia="方正仿宋_GBK" w:cs="方正仿宋_GBK"/>
          <w:color w:val="000000" w:themeColor="text1"/>
          <w:sz w:val="32"/>
          <w:szCs w:val="32"/>
          <w14:textFill>
            <w14:solidFill>
              <w14:schemeClr w14:val="tx1"/>
            </w14:solidFill>
          </w14:textFill>
        </w:rPr>
        <w:t>.参与专业考试命题</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每次</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授予</w:t>
      </w:r>
      <w:r>
        <w:rPr>
          <w:rFonts w:hint="eastAsia" w:ascii="方正仿宋_GBK" w:hAnsi="方正仿宋_GBK" w:eastAsia="方正仿宋_GBK" w:cs="方正仿宋_GBK"/>
          <w:color w:val="000000" w:themeColor="text1"/>
          <w:sz w:val="32"/>
          <w:szCs w:val="32"/>
          <w14:textFill>
            <w14:solidFill>
              <w14:schemeClr w14:val="tx1"/>
            </w14:solidFill>
          </w14:textFill>
        </w:rPr>
        <w:t>1学分。</w:t>
      </w:r>
    </w:p>
    <w:p>
      <w:pPr>
        <w:spacing w:line="560" w:lineRule="exact"/>
        <w:ind w:firstLine="641"/>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5</w:t>
      </w:r>
      <w:r>
        <w:rPr>
          <w:rFonts w:hint="eastAsia" w:ascii="方正仿宋_GBK" w:hAnsi="方正仿宋_GBK" w:eastAsia="方正仿宋_GBK" w:cs="方正仿宋_GBK"/>
          <w:color w:val="000000" w:themeColor="text1"/>
          <w:sz w:val="32"/>
          <w:szCs w:val="32"/>
          <w14:textFill>
            <w14:solidFill>
              <w14:schemeClr w14:val="tx1"/>
            </w14:solidFill>
          </w14:textFill>
        </w:rPr>
        <w:t>.科研项目与科技成果</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。当年获</w:t>
      </w:r>
      <w:r>
        <w:rPr>
          <w:rFonts w:hint="eastAsia" w:ascii="方正仿宋_GBK" w:hAnsi="方正仿宋_GBK" w:eastAsia="方正仿宋_GBK" w:cs="方正仿宋_GBK"/>
          <w:color w:val="000000" w:themeColor="text1"/>
          <w:sz w:val="32"/>
          <w:szCs w:val="32"/>
          <w14:textFill>
            <w14:solidFill>
              <w14:schemeClr w14:val="tx1"/>
            </w14:solidFill>
          </w14:textFill>
        </w:rPr>
        <w:t>批的科研项目或通过鉴定（评价）的科技成果</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，对排序前</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5位的项目组成员（余类推）</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分别</w:t>
      </w:r>
      <w:r>
        <w:rPr>
          <w:rFonts w:hint="eastAsia" w:ascii="方正仿宋_GBK" w:hAnsi="方正仿宋_GBK" w:eastAsia="方正仿宋_GBK" w:cs="方正仿宋_GBK"/>
          <w:color w:val="000000" w:themeColor="text1"/>
          <w:sz w:val="32"/>
          <w:szCs w:val="32"/>
          <w14:textFill>
            <w14:solidFill>
              <w14:schemeClr w14:val="tx1"/>
            </w14:solidFill>
          </w14:textFill>
        </w:rPr>
        <w:t>授予学分：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国家级项目或成果（</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5、4、3、2、1分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省部级项目或成果（4、3、2、1、0.5分），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市厅级项目或成果（</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3、2、1、0.5分，第5位不授分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），单位自筹项目（</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2、1、0.5分，第4、5位不授分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p>
    <w:p>
      <w:pPr>
        <w:spacing w:line="560" w:lineRule="exact"/>
        <w:ind w:firstLine="641"/>
        <w:rPr>
          <w:rFonts w:hint="default" w:ascii="方正仿宋_GBK" w:hAnsi="方正仿宋_GBK" w:eastAsia="方正仿宋_GBK" w:cs="方正仿宋_GBK"/>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当年申报</w:t>
      </w:r>
      <w:r>
        <w:rPr>
          <w:rFonts w:hint="eastAsia" w:ascii="方正仿宋_GBK" w:hAnsi="方正仿宋_GBK" w:eastAsia="方正仿宋_GBK" w:cs="方正仿宋_GBK"/>
          <w:color w:val="000000" w:themeColor="text1"/>
          <w:sz w:val="32"/>
          <w:szCs w:val="32"/>
          <w14:textFill>
            <w14:solidFill>
              <w14:schemeClr w14:val="tx1"/>
            </w14:solidFill>
          </w14:textFill>
        </w:rPr>
        <w:t>科研项目</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的，对排序前</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5位的项目组成员（余类推）</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分别</w:t>
      </w:r>
      <w:r>
        <w:rPr>
          <w:rFonts w:hint="eastAsia" w:ascii="方正仿宋_GBK" w:hAnsi="方正仿宋_GBK" w:eastAsia="方正仿宋_GBK" w:cs="方正仿宋_GBK"/>
          <w:color w:val="000000" w:themeColor="text1"/>
          <w:sz w:val="32"/>
          <w:szCs w:val="32"/>
          <w14:textFill>
            <w14:solidFill>
              <w14:schemeClr w14:val="tx1"/>
            </w14:solidFill>
          </w14:textFill>
        </w:rPr>
        <w:t>授予学分：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国家级项目（</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4、3、2、1、05.分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省部级项目（3、2、1、0.5分，第5位不授分），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市厅级项目（</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2、1、0.5分，第4、5位不授分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），单位自筹项目（</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1、0.5分，第3、4、5位不授分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p>
    <w:p>
      <w:pPr>
        <w:spacing w:line="560" w:lineRule="exact"/>
        <w:ind w:firstLine="641"/>
        <w:rPr>
          <w:rFonts w:hint="default" w:ascii="方正仿宋_GBK" w:hAnsi="方正仿宋_GBK" w:eastAsia="方正仿宋_GBK" w:cs="方正仿宋_GBK"/>
          <w:color w:val="000000" w:themeColor="text1"/>
          <w:sz w:val="32"/>
          <w:szCs w:val="32"/>
          <w:lang w:val="en-US" w:eastAsia="zh-CN"/>
          <w14:textFill>
            <w14:solidFill>
              <w14:schemeClr w14:val="tx1"/>
            </w14:solidFill>
          </w14:textFill>
        </w:rPr>
      </w:pPr>
    </w:p>
    <w:p>
      <w:pPr>
        <w:spacing w:line="560" w:lineRule="exact"/>
        <w:ind w:firstLine="641"/>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p>
    <w:p>
      <w:pPr>
        <w:spacing w:line="560" w:lineRule="exact"/>
        <w:ind w:firstLine="640" w:firstLineChars="200"/>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6</w:t>
      </w:r>
      <w:r>
        <w:rPr>
          <w:rFonts w:hint="eastAsia" w:ascii="方正仿宋_GBK" w:hAnsi="方正仿宋_GBK" w:eastAsia="方正仿宋_GBK" w:cs="方正仿宋_GBK"/>
          <w:color w:val="000000" w:themeColor="text1"/>
          <w:sz w:val="32"/>
          <w:szCs w:val="32"/>
          <w14:textFill>
            <w14:solidFill>
              <w14:schemeClr w14:val="tx1"/>
            </w14:solidFill>
          </w14:textFill>
        </w:rPr>
        <w:t>.申报继续医学教育项目和参与继续医学教育项目授课</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的，对申报人、主讲人分别授予学分：国家级项目（</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2、3分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），省级项目（</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1、2分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），州市级项目（</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0.5、1分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7</w:t>
      </w:r>
      <w:r>
        <w:rPr>
          <w:rFonts w:hint="eastAsia" w:ascii="方正仿宋_GBK" w:hAnsi="方正仿宋_GBK" w:eastAsia="方正仿宋_GBK" w:cs="方正仿宋_GBK"/>
          <w:color w:val="000000" w:themeColor="text1"/>
          <w:sz w:val="32"/>
          <w:szCs w:val="32"/>
          <w14:textFill>
            <w14:solidFill>
              <w14:schemeClr w14:val="tx1"/>
            </w14:solidFill>
          </w14:textFill>
        </w:rPr>
        <w:t>.出版</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本专业</w:t>
      </w:r>
      <w:r>
        <w:rPr>
          <w:rFonts w:hint="eastAsia" w:ascii="方正仿宋_GBK" w:hAnsi="方正仿宋_GBK" w:eastAsia="方正仿宋_GBK" w:cs="方正仿宋_GBK"/>
          <w:color w:val="000000" w:themeColor="text1"/>
          <w:sz w:val="32"/>
          <w:szCs w:val="32"/>
          <w14:textFill>
            <w14:solidFill>
              <w14:schemeClr w14:val="tx1"/>
            </w14:solidFill>
          </w14:textFill>
        </w:rPr>
        <w:t>医学著作</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、教材等</w:t>
      </w:r>
      <w:r>
        <w:rPr>
          <w:rFonts w:hint="eastAsia" w:ascii="方正仿宋_GBK" w:hAnsi="方正仿宋_GBK" w:eastAsia="方正仿宋_GBK" w:cs="方正仿宋_GBK"/>
          <w:color w:val="000000" w:themeColor="text1"/>
          <w:sz w:val="32"/>
          <w:szCs w:val="32"/>
          <w14:textFill>
            <w14:solidFill>
              <w14:schemeClr w14:val="tx1"/>
            </w14:solidFill>
          </w14:textFill>
        </w:rPr>
        <w:t>，出版当年</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按每</w:t>
      </w:r>
      <w:r>
        <w:rPr>
          <w:rFonts w:hint="eastAsia" w:ascii="方正仿宋_GBK" w:hAnsi="方正仿宋_GBK" w:eastAsia="方正仿宋_GBK" w:cs="方正仿宋_GBK"/>
          <w:color w:val="000000" w:themeColor="text1"/>
          <w:sz w:val="32"/>
          <w:szCs w:val="32"/>
          <w14:textFill>
            <w14:solidFill>
              <w14:schemeClr w14:val="tx1"/>
            </w14:solidFill>
          </w14:textFill>
        </w:rPr>
        <w:t>1000字授予1学分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计算</w:t>
      </w:r>
      <w:r>
        <w:rPr>
          <w:rFonts w:hint="eastAsia" w:ascii="方正仿宋_GBK" w:hAnsi="方正仿宋_GBK" w:eastAsia="方正仿宋_GBK" w:cs="方正仿宋_GBK"/>
          <w:color w:val="000000" w:themeColor="text1"/>
          <w:sz w:val="32"/>
          <w:szCs w:val="32"/>
          <w14:textFill>
            <w14:solidFill>
              <w14:schemeClr w14:val="tx1"/>
            </w14:solidFill>
          </w14:textFill>
        </w:rPr>
        <w:t>。</w:t>
      </w:r>
    </w:p>
    <w:p>
      <w:pPr>
        <w:spacing w:line="560" w:lineRule="exact"/>
        <w:ind w:firstLine="640" w:firstLineChars="200"/>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8.</w:t>
      </w:r>
      <w:r>
        <w:rPr>
          <w:rFonts w:hint="eastAsia" w:ascii="方正仿宋_GBK" w:hAnsi="方正仿宋_GBK" w:eastAsia="方正仿宋_GBK" w:cs="方正仿宋_GBK"/>
          <w:color w:val="000000" w:themeColor="text1"/>
          <w:sz w:val="32"/>
          <w:szCs w:val="32"/>
          <w14:textFill>
            <w14:solidFill>
              <w14:schemeClr w14:val="tx1"/>
            </w14:solidFill>
          </w14:textFill>
        </w:rPr>
        <w:t>在经认可的刊物</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（有期刊号），</w:t>
      </w:r>
      <w:r>
        <w:rPr>
          <w:rFonts w:hint="eastAsia" w:ascii="方正仿宋_GBK" w:hAnsi="方正仿宋_GBK" w:eastAsia="方正仿宋_GBK" w:cs="方正仿宋_GBK"/>
          <w:color w:val="000000" w:themeColor="text1"/>
          <w:sz w:val="32"/>
          <w:szCs w:val="32"/>
          <w14:textFill>
            <w14:solidFill>
              <w14:schemeClr w14:val="tx1"/>
            </w14:solidFill>
          </w14:textFill>
        </w:rPr>
        <w:t>包括增刊上发表论文（或文章），</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对排序前</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3位的作者（余类推）</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当年</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分别授予</w:t>
      </w:r>
      <w:r>
        <w:rPr>
          <w:rFonts w:hint="eastAsia" w:ascii="方正仿宋_GBK" w:hAnsi="方正仿宋_GBK" w:eastAsia="方正仿宋_GBK" w:cs="方正仿宋_GBK"/>
          <w:color w:val="000000" w:themeColor="text1"/>
          <w:sz w:val="32"/>
          <w:szCs w:val="32"/>
          <w14:textFill>
            <w14:solidFill>
              <w14:schemeClr w14:val="tx1"/>
            </w14:solidFill>
          </w14:textFill>
        </w:rPr>
        <w:t>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国际学术刊物（</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5、4、3分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），具有国际标准刊物（ISSN）或国内统一刊号（CN）的刊物（</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4、3、2分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），省级学术刊物（</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3、2、1分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），地市级学术刊物（</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2、1分，第3位不授分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），内部刊物（指经云南省新闻出版局批准的内部资料）（</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1、0.5分，第3位不授分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9.公开</w:t>
      </w:r>
      <w:r>
        <w:rPr>
          <w:rFonts w:hint="eastAsia" w:ascii="方正仿宋_GBK" w:hAnsi="方正仿宋_GBK" w:eastAsia="方正仿宋_GBK" w:cs="方正仿宋_GBK"/>
          <w:color w:val="000000" w:themeColor="text1"/>
          <w:sz w:val="32"/>
          <w:szCs w:val="32"/>
          <w14:textFill>
            <w14:solidFill>
              <w14:schemeClr w14:val="tx1"/>
            </w14:solidFill>
          </w14:textFill>
        </w:rPr>
        <w:t>发表医学译文</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每1500汉字授予1学分。</w:t>
      </w:r>
    </w:p>
    <w:p>
      <w:pPr>
        <w:spacing w:line="560" w:lineRule="exact"/>
        <w:ind w:firstLine="640" w:firstLineChars="200"/>
        <w:rPr>
          <w:rFonts w:hint="eastAsia" w:ascii="方正楷体_GBK" w:hAnsi="方正楷体_GBK" w:eastAsia="方正楷体_GBK" w:cs="方正楷体_GBK"/>
          <w:color w:val="000000" w:themeColor="text1"/>
          <w:sz w:val="32"/>
          <w:szCs w:val="32"/>
          <w14:textFill>
            <w14:solidFill>
              <w14:schemeClr w14:val="tx1"/>
            </w14:solidFill>
          </w14:textFill>
        </w:rPr>
      </w:pPr>
      <w:r>
        <w:rPr>
          <w:rFonts w:hint="eastAsia" w:ascii="方正楷体_GBK" w:hAnsi="方正楷体_GBK" w:eastAsia="方正楷体_GBK" w:cs="方正楷体_GBK"/>
          <w:color w:val="000000" w:themeColor="text1"/>
          <w:sz w:val="32"/>
          <w:szCs w:val="32"/>
          <w14:textFill>
            <w14:solidFill>
              <w14:schemeClr w14:val="tx1"/>
            </w14:solidFill>
          </w14:textFill>
        </w:rPr>
        <w:t>（</w:t>
      </w:r>
      <w:r>
        <w:rPr>
          <w:rFonts w:hint="eastAsia" w:ascii="方正楷体_GBK" w:hAnsi="方正楷体_GBK" w:eastAsia="方正楷体_GBK" w:cs="方正楷体_GBK"/>
          <w:color w:val="000000" w:themeColor="text1"/>
          <w:sz w:val="32"/>
          <w:szCs w:val="32"/>
          <w:lang w:eastAsia="zh-CN"/>
          <w14:textFill>
            <w14:solidFill>
              <w14:schemeClr w14:val="tx1"/>
            </w14:solidFill>
          </w14:textFill>
        </w:rPr>
        <w:t>九</w:t>
      </w:r>
      <w:r>
        <w:rPr>
          <w:rFonts w:hint="eastAsia" w:ascii="方正楷体_GBK" w:hAnsi="方正楷体_GBK" w:eastAsia="方正楷体_GBK" w:cs="方正楷体_GBK"/>
          <w:color w:val="000000" w:themeColor="text1"/>
          <w:sz w:val="32"/>
          <w:szCs w:val="32"/>
          <w14:textFill>
            <w14:solidFill>
              <w14:schemeClr w14:val="tx1"/>
            </w14:solidFill>
          </w14:textFill>
        </w:rPr>
        <w:t>）符合规定的其他方式</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由各级卫生健康行政部门结合实际情况</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和开展工作的需要，需按要求</w:t>
      </w:r>
      <w:r>
        <w:rPr>
          <w:rFonts w:hint="eastAsia" w:ascii="方正仿宋_GBK" w:hAnsi="方正仿宋_GBK" w:eastAsia="方正仿宋_GBK" w:cs="方正仿宋_GBK"/>
          <w:color w:val="000000" w:themeColor="text1"/>
          <w:sz w:val="32"/>
          <w:szCs w:val="32"/>
          <w14:textFill>
            <w14:solidFill>
              <w14:schemeClr w14:val="tx1"/>
            </w14:solidFill>
          </w14:textFill>
        </w:rPr>
        <w:t>授予</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学分的继续医学教育活动</w:t>
      </w:r>
      <w:r>
        <w:rPr>
          <w:rFonts w:hint="eastAsia" w:ascii="方正仿宋_GBK" w:hAnsi="方正仿宋_GBK" w:eastAsia="方正仿宋_GBK" w:cs="方正仿宋_GBK"/>
          <w:color w:val="000000" w:themeColor="text1"/>
          <w:sz w:val="32"/>
          <w:szCs w:val="32"/>
          <w14:textFill>
            <w14:solidFill>
              <w14:schemeClr w14:val="tx1"/>
            </w14:solidFill>
          </w14:textFill>
        </w:rPr>
        <w:t>，报上一级卫生健康行政部门备案后实施。</w:t>
      </w:r>
    </w:p>
    <w:p>
      <w:pPr>
        <w:spacing w:line="560" w:lineRule="exact"/>
        <w:ind w:firstLine="640" w:firstLineChars="200"/>
        <w:rPr>
          <w:rFonts w:hint="eastAsia" w:ascii="方正黑体_GBK" w:hAnsi="方正黑体_GBK" w:eastAsia="方正黑体_GBK" w:cs="方正黑体_GBK"/>
          <w:color w:val="000000" w:themeColor="text1"/>
          <w:sz w:val="32"/>
          <w:szCs w:val="32"/>
          <w14:textFill>
            <w14:solidFill>
              <w14:schemeClr w14:val="tx1"/>
            </w14:solidFill>
          </w14:textFill>
        </w:rPr>
      </w:pPr>
      <w:r>
        <w:rPr>
          <w:rFonts w:hint="eastAsia" w:ascii="方正黑体_GBK" w:hAnsi="方正黑体_GBK" w:eastAsia="方正黑体_GBK" w:cs="方正黑体_GBK"/>
          <w:color w:val="000000" w:themeColor="text1"/>
          <w:sz w:val="32"/>
          <w:szCs w:val="32"/>
          <w14:textFill>
            <w14:solidFill>
              <w14:schemeClr w14:val="tx1"/>
            </w14:solidFill>
          </w14:textFill>
        </w:rPr>
        <w:t>四、学分分类及具体要求</w:t>
      </w:r>
    </w:p>
    <w:p>
      <w:pPr>
        <w:spacing w:line="560" w:lineRule="exact"/>
        <w:ind w:firstLine="640" w:firstLineChars="200"/>
        <w:rPr>
          <w:rFonts w:hint="eastAsia" w:ascii="方正楷体_GBK" w:hAnsi="方正楷体_GBK" w:eastAsia="方正楷体_GBK" w:cs="方正楷体_GBK"/>
          <w:color w:val="000000" w:themeColor="text1"/>
          <w:sz w:val="32"/>
          <w:szCs w:val="32"/>
          <w14:textFill>
            <w14:solidFill>
              <w14:schemeClr w14:val="tx1"/>
            </w14:solidFill>
          </w14:textFill>
        </w:rPr>
      </w:pPr>
      <w:r>
        <w:rPr>
          <w:rFonts w:hint="eastAsia" w:ascii="方正楷体_GBK" w:hAnsi="方正楷体_GBK" w:eastAsia="方正楷体_GBK" w:cs="方正楷体_GBK"/>
          <w:color w:val="000000" w:themeColor="text1"/>
          <w:sz w:val="32"/>
          <w:szCs w:val="32"/>
          <w14:textFill>
            <w14:solidFill>
              <w14:schemeClr w14:val="tx1"/>
            </w14:solidFill>
          </w14:textFill>
        </w:rPr>
        <w:t>（一）学分分类</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按照继续医学教育活动的形式，分为项目学分和自管学分两大类。</w:t>
      </w:r>
    </w:p>
    <w:p>
      <w:pPr>
        <w:spacing w:line="560" w:lineRule="exact"/>
        <w:ind w:firstLine="642" w:firstLineChars="200"/>
        <w:rPr>
          <w:rFonts w:hint="eastAsia" w:ascii="方正仿宋_GBK" w:hAnsi="方正仿宋_GBK" w:eastAsia="方正仿宋_GBK" w:cs="方正仿宋_GBK"/>
          <w:b/>
          <w:bCs/>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1.项目学分</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是</w:t>
      </w:r>
      <w:r>
        <w:rPr>
          <w:rFonts w:hint="eastAsia" w:ascii="方正仿宋_GBK" w:hAnsi="方正仿宋_GBK" w:eastAsia="方正仿宋_GBK" w:cs="方正仿宋_GBK"/>
          <w:color w:val="000000" w:themeColor="text1"/>
          <w:sz w:val="32"/>
          <w:szCs w:val="32"/>
          <w14:textFill>
            <w14:solidFill>
              <w14:schemeClr w14:val="tx1"/>
            </w14:solidFill>
          </w14:textFill>
        </w:rPr>
        <w:t>指参加国家、省、州（市）级</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卫生健康行政部门公布的</w:t>
      </w:r>
      <w:r>
        <w:rPr>
          <w:rFonts w:hint="eastAsia" w:ascii="方正仿宋_GBK" w:hAnsi="方正仿宋_GBK" w:eastAsia="方正仿宋_GBK" w:cs="方正仿宋_GBK"/>
          <w:color w:val="000000" w:themeColor="text1"/>
          <w:sz w:val="32"/>
          <w:szCs w:val="32"/>
          <w14:textFill>
            <w14:solidFill>
              <w14:schemeClr w14:val="tx1"/>
            </w14:solidFill>
          </w14:textFill>
        </w:rPr>
        <w:t>继续医学教育活动，经相应考核，达标后获得的学分。</w:t>
      </w:r>
    </w:p>
    <w:p>
      <w:pPr>
        <w:spacing w:line="560" w:lineRule="exact"/>
        <w:ind w:firstLine="642" w:firstLineChars="200"/>
        <w:rPr>
          <w:rFonts w:hint="eastAsia" w:ascii="方正仿宋_GBK" w:hAnsi="方正仿宋_GBK" w:eastAsia="方正仿宋_GBK" w:cs="方正仿宋_GBK"/>
          <w:b/>
          <w:bCs/>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2.自管学分</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是</w:t>
      </w:r>
      <w:r>
        <w:rPr>
          <w:rFonts w:hint="eastAsia" w:ascii="方正仿宋_GBK" w:hAnsi="方正仿宋_GBK" w:eastAsia="方正仿宋_GBK" w:cs="方正仿宋_GBK"/>
          <w:color w:val="000000" w:themeColor="text1"/>
          <w:sz w:val="32"/>
          <w:szCs w:val="32"/>
          <w14:textFill>
            <w14:solidFill>
              <w14:schemeClr w14:val="tx1"/>
            </w14:solidFill>
          </w14:textFill>
        </w:rPr>
        <w:t>指经用人单位批准，制定年度自学计划，基于岗位胜任力开展的多种形式的自学方式，包括但不限于自学、参加授课或带教、参与专业考试命题、开展健康宣教、发表论文、出版著作、承担教学、科研立项、科技成果、单位组织的学术活动等其他有组织的继续医学教育实践活动授予</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的</w:t>
      </w:r>
      <w:r>
        <w:rPr>
          <w:rFonts w:hint="eastAsia" w:ascii="方正仿宋_GBK" w:hAnsi="方正仿宋_GBK" w:eastAsia="方正仿宋_GBK" w:cs="方正仿宋_GBK"/>
          <w:color w:val="000000" w:themeColor="text1"/>
          <w:sz w:val="32"/>
          <w:szCs w:val="32"/>
          <w14:textFill>
            <w14:solidFill>
              <w14:schemeClr w14:val="tx1"/>
            </w14:solidFill>
          </w14:textFill>
        </w:rPr>
        <w:t>学分。</w:t>
      </w:r>
    </w:p>
    <w:p>
      <w:pPr>
        <w:spacing w:line="560" w:lineRule="exact"/>
        <w:ind w:firstLine="640" w:firstLineChars="200"/>
        <w:rPr>
          <w:rFonts w:hint="eastAsia" w:ascii="方正楷体_GBK" w:hAnsi="方正楷体_GBK" w:eastAsia="方正楷体_GBK" w:cs="方正楷体_GBK"/>
          <w:color w:val="000000" w:themeColor="text1"/>
          <w:sz w:val="32"/>
          <w:szCs w:val="32"/>
          <w14:textFill>
            <w14:solidFill>
              <w14:schemeClr w14:val="tx1"/>
            </w14:solidFill>
          </w14:textFill>
        </w:rPr>
      </w:pPr>
      <w:r>
        <w:rPr>
          <w:rFonts w:hint="eastAsia" w:ascii="方正楷体_GBK" w:hAnsi="方正楷体_GBK" w:eastAsia="方正楷体_GBK" w:cs="方正楷体_GBK"/>
          <w:color w:val="000000" w:themeColor="text1"/>
          <w:sz w:val="32"/>
          <w:szCs w:val="32"/>
          <w14:textFill>
            <w14:solidFill>
              <w14:schemeClr w14:val="tx1"/>
            </w14:solidFill>
          </w14:textFill>
        </w:rPr>
        <w:t>（二）具体要求</w:t>
      </w:r>
    </w:p>
    <w:p>
      <w:pPr>
        <w:spacing w:line="560" w:lineRule="exact"/>
        <w:ind w:firstLine="642" w:firstLineChars="200"/>
        <w:rPr>
          <w:rFonts w:hint="eastAsia" w:ascii="方正仿宋_GBK" w:hAnsi="方正仿宋_GBK" w:eastAsia="方正仿宋_GBK" w:cs="方正仿宋_GBK"/>
          <w:b/>
          <w:bCs/>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1.省级单位</w:t>
      </w:r>
    </w:p>
    <w:p>
      <w:pPr>
        <w:spacing w:line="560" w:lineRule="exact"/>
        <w:ind w:firstLine="640" w:firstLineChars="200"/>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高级</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职称</w:t>
      </w:r>
      <w:r>
        <w:rPr>
          <w:rFonts w:hint="eastAsia" w:ascii="方正仿宋_GBK" w:hAnsi="方正仿宋_GBK" w:eastAsia="方正仿宋_GBK" w:cs="方正仿宋_GBK"/>
          <w:color w:val="000000" w:themeColor="text1"/>
          <w:sz w:val="32"/>
          <w:szCs w:val="32"/>
          <w14:textFill>
            <w14:solidFill>
              <w14:schemeClr w14:val="tx1"/>
            </w14:solidFill>
          </w14:textFill>
        </w:rPr>
        <w:t>卫生专业技术人员每年</w:t>
      </w:r>
      <w:bookmarkStart w:id="2" w:name="_Hlk200444520"/>
      <w:r>
        <w:rPr>
          <w:rFonts w:hint="eastAsia" w:ascii="方正仿宋_GBK" w:hAnsi="方正仿宋_GBK" w:eastAsia="方正仿宋_GBK" w:cs="方正仿宋_GBK"/>
          <w:color w:val="000000" w:themeColor="text1"/>
          <w:sz w:val="32"/>
          <w:szCs w:val="32"/>
          <w14:textFill>
            <w14:solidFill>
              <w14:schemeClr w14:val="tx1"/>
            </w14:solidFill>
          </w14:textFill>
        </w:rPr>
        <w:t>项目学分不低于20学分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自管学分5学分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。项目学分中，</w:t>
      </w:r>
      <w:r>
        <w:rPr>
          <w:rFonts w:hint="eastAsia" w:ascii="方正仿宋_GBK" w:hAnsi="方正仿宋_GBK" w:eastAsia="方正仿宋_GBK" w:cs="方正仿宋_GBK"/>
          <w:color w:val="000000" w:themeColor="text1"/>
          <w:sz w:val="32"/>
          <w:szCs w:val="32"/>
          <w14:textFill>
            <w14:solidFill>
              <w14:schemeClr w14:val="tx1"/>
            </w14:solidFill>
          </w14:textFill>
        </w:rPr>
        <w:t>州市</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级及以上面授</w:t>
      </w:r>
      <w:r>
        <w:rPr>
          <w:rFonts w:hint="eastAsia" w:ascii="方正仿宋_GBK" w:hAnsi="方正仿宋_GBK" w:eastAsia="方正仿宋_GBK" w:cs="方正仿宋_GBK"/>
          <w:color w:val="000000" w:themeColor="text1"/>
          <w:sz w:val="32"/>
          <w:szCs w:val="32"/>
          <w14:textFill>
            <w14:solidFill>
              <w14:schemeClr w14:val="tx1"/>
            </w14:solidFill>
          </w14:textFill>
        </w:rPr>
        <w:t>项目</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学分</w:t>
      </w:r>
      <w:r>
        <w:rPr>
          <w:rFonts w:hint="eastAsia" w:ascii="方正仿宋_GBK" w:hAnsi="方正仿宋_GBK" w:eastAsia="方正仿宋_GBK" w:cs="方正仿宋_GBK"/>
          <w:color w:val="000000" w:themeColor="text1"/>
          <w:sz w:val="32"/>
          <w:szCs w:val="32"/>
          <w14:textFill>
            <w14:solidFill>
              <w14:schemeClr w14:val="tx1"/>
            </w14:solidFill>
          </w14:textFill>
        </w:rPr>
        <w:t>不低于</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12</w:t>
      </w:r>
      <w:r>
        <w:rPr>
          <w:rFonts w:hint="eastAsia" w:ascii="方正仿宋_GBK" w:hAnsi="方正仿宋_GBK" w:eastAsia="方正仿宋_GBK" w:cs="方正仿宋_GBK"/>
          <w:color w:val="000000" w:themeColor="text1"/>
          <w:sz w:val="32"/>
          <w:szCs w:val="32"/>
          <w14:textFill>
            <w14:solidFill>
              <w14:schemeClr w14:val="tx1"/>
            </w14:solidFill>
          </w14:textFill>
        </w:rPr>
        <w:t>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（国家级、省级项目</w:t>
      </w:r>
      <w:r>
        <w:rPr>
          <w:rFonts w:hint="eastAsia" w:ascii="方正仿宋_GBK" w:hAnsi="方正仿宋_GBK" w:eastAsia="方正仿宋_GBK" w:cs="方正仿宋_GBK"/>
          <w:color w:val="000000" w:themeColor="text1"/>
          <w:sz w:val="32"/>
          <w:szCs w:val="32"/>
          <w14:textFill>
            <w14:solidFill>
              <w14:schemeClr w14:val="tx1"/>
            </w14:solidFill>
          </w14:textFill>
        </w:rPr>
        <w:t>学分不低于</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9</w:t>
      </w:r>
      <w:r>
        <w:rPr>
          <w:rFonts w:hint="eastAsia" w:ascii="方正仿宋_GBK" w:hAnsi="方正仿宋_GBK" w:eastAsia="方正仿宋_GBK" w:cs="方正仿宋_GBK"/>
          <w:color w:val="000000" w:themeColor="text1"/>
          <w:sz w:val="32"/>
          <w:szCs w:val="32"/>
          <w14:textFill>
            <w14:solidFill>
              <w14:schemeClr w14:val="tx1"/>
            </w14:solidFill>
          </w14:textFill>
        </w:rPr>
        <w:t>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p>
    <w:bookmarkEnd w:id="2"/>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中级</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职称</w:t>
      </w:r>
      <w:r>
        <w:rPr>
          <w:rFonts w:hint="eastAsia" w:ascii="方正仿宋_GBK" w:hAnsi="方正仿宋_GBK" w:eastAsia="方正仿宋_GBK" w:cs="方正仿宋_GBK"/>
          <w:color w:val="000000" w:themeColor="text1"/>
          <w:sz w:val="32"/>
          <w:szCs w:val="32"/>
          <w14:textFill>
            <w14:solidFill>
              <w14:schemeClr w14:val="tx1"/>
            </w14:solidFill>
          </w14:textFill>
        </w:rPr>
        <w:t>卫生专业技术人员每年项目学分不低于20学分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自管学分5学分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。项目学分中，</w:t>
      </w:r>
      <w:r>
        <w:rPr>
          <w:rFonts w:hint="eastAsia" w:ascii="方正仿宋_GBK" w:hAnsi="方正仿宋_GBK" w:eastAsia="方正仿宋_GBK" w:cs="方正仿宋_GBK"/>
          <w:color w:val="000000" w:themeColor="text1"/>
          <w:sz w:val="32"/>
          <w:szCs w:val="32"/>
          <w14:textFill>
            <w14:solidFill>
              <w14:schemeClr w14:val="tx1"/>
            </w14:solidFill>
          </w14:textFill>
        </w:rPr>
        <w:t>州市</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级及以上面授</w:t>
      </w:r>
      <w:r>
        <w:rPr>
          <w:rFonts w:hint="eastAsia" w:ascii="方正仿宋_GBK" w:hAnsi="方正仿宋_GBK" w:eastAsia="方正仿宋_GBK" w:cs="方正仿宋_GBK"/>
          <w:color w:val="000000" w:themeColor="text1"/>
          <w:sz w:val="32"/>
          <w:szCs w:val="32"/>
          <w14:textFill>
            <w14:solidFill>
              <w14:schemeClr w14:val="tx1"/>
            </w14:solidFill>
          </w14:textFill>
        </w:rPr>
        <w:t>项目</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学分</w:t>
      </w:r>
      <w:r>
        <w:rPr>
          <w:rFonts w:hint="eastAsia" w:ascii="方正仿宋_GBK" w:hAnsi="方正仿宋_GBK" w:eastAsia="方正仿宋_GBK" w:cs="方正仿宋_GBK"/>
          <w:color w:val="000000" w:themeColor="text1"/>
          <w:sz w:val="32"/>
          <w:szCs w:val="32"/>
          <w14:textFill>
            <w14:solidFill>
              <w14:schemeClr w14:val="tx1"/>
            </w14:solidFill>
          </w14:textFill>
        </w:rPr>
        <w:t>不低于</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10</w:t>
      </w:r>
      <w:r>
        <w:rPr>
          <w:rFonts w:hint="eastAsia" w:ascii="方正仿宋_GBK" w:hAnsi="方正仿宋_GBK" w:eastAsia="方正仿宋_GBK" w:cs="方正仿宋_GBK"/>
          <w:color w:val="000000" w:themeColor="text1"/>
          <w:sz w:val="32"/>
          <w:szCs w:val="32"/>
          <w14:textFill>
            <w14:solidFill>
              <w14:schemeClr w14:val="tx1"/>
            </w14:solidFill>
          </w14:textFill>
        </w:rPr>
        <w:t>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（国家级、省级项目</w:t>
      </w:r>
      <w:r>
        <w:rPr>
          <w:rFonts w:hint="eastAsia" w:ascii="方正仿宋_GBK" w:hAnsi="方正仿宋_GBK" w:eastAsia="方正仿宋_GBK" w:cs="方正仿宋_GBK"/>
          <w:color w:val="000000" w:themeColor="text1"/>
          <w:sz w:val="32"/>
          <w:szCs w:val="32"/>
          <w14:textFill>
            <w14:solidFill>
              <w14:schemeClr w14:val="tx1"/>
            </w14:solidFill>
          </w14:textFill>
        </w:rPr>
        <w:t>学分不低于</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6</w:t>
      </w:r>
      <w:r>
        <w:rPr>
          <w:rFonts w:hint="eastAsia" w:ascii="方正仿宋_GBK" w:hAnsi="方正仿宋_GBK" w:eastAsia="方正仿宋_GBK" w:cs="方正仿宋_GBK"/>
          <w:color w:val="000000" w:themeColor="text1"/>
          <w:sz w:val="32"/>
          <w:szCs w:val="32"/>
          <w14:textFill>
            <w14:solidFill>
              <w14:schemeClr w14:val="tx1"/>
            </w14:solidFill>
          </w14:textFill>
        </w:rPr>
        <w:t>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初级</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职称</w:t>
      </w:r>
      <w:r>
        <w:rPr>
          <w:rFonts w:hint="eastAsia" w:ascii="方正仿宋_GBK" w:hAnsi="方正仿宋_GBK" w:eastAsia="方正仿宋_GBK" w:cs="方正仿宋_GBK"/>
          <w:color w:val="000000" w:themeColor="text1"/>
          <w:sz w:val="32"/>
          <w:szCs w:val="32"/>
          <w14:textFill>
            <w14:solidFill>
              <w14:schemeClr w14:val="tx1"/>
            </w14:solidFill>
          </w14:textFill>
        </w:rPr>
        <w:t>卫生专业技术人员每年</w:t>
      </w:r>
      <w:bookmarkStart w:id="3" w:name="_Hlk200445233"/>
      <w:r>
        <w:rPr>
          <w:rFonts w:hint="eastAsia" w:ascii="方正仿宋_GBK" w:hAnsi="方正仿宋_GBK" w:eastAsia="方正仿宋_GBK" w:cs="方正仿宋_GBK"/>
          <w:color w:val="000000" w:themeColor="text1"/>
          <w:sz w:val="32"/>
          <w:szCs w:val="32"/>
          <w14:textFill>
            <w14:solidFill>
              <w14:schemeClr w14:val="tx1"/>
            </w14:solidFill>
          </w14:textFill>
        </w:rPr>
        <w:t>项目学分不低于20学分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自管学分5学分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。项目学分中，</w:t>
      </w:r>
      <w:r>
        <w:rPr>
          <w:rFonts w:hint="eastAsia" w:ascii="方正仿宋_GBK" w:hAnsi="方正仿宋_GBK" w:eastAsia="方正仿宋_GBK" w:cs="方正仿宋_GBK"/>
          <w:color w:val="000000" w:themeColor="text1"/>
          <w:sz w:val="32"/>
          <w:szCs w:val="32"/>
          <w14:textFill>
            <w14:solidFill>
              <w14:schemeClr w14:val="tx1"/>
            </w14:solidFill>
          </w14:textFill>
        </w:rPr>
        <w:t>州市</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级及以上面授</w:t>
      </w:r>
      <w:r>
        <w:rPr>
          <w:rFonts w:hint="eastAsia" w:ascii="方正仿宋_GBK" w:hAnsi="方正仿宋_GBK" w:eastAsia="方正仿宋_GBK" w:cs="方正仿宋_GBK"/>
          <w:color w:val="000000" w:themeColor="text1"/>
          <w:sz w:val="32"/>
          <w:szCs w:val="32"/>
          <w14:textFill>
            <w14:solidFill>
              <w14:schemeClr w14:val="tx1"/>
            </w14:solidFill>
          </w14:textFill>
        </w:rPr>
        <w:t>项目</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学分</w:t>
      </w:r>
      <w:r>
        <w:rPr>
          <w:rFonts w:hint="eastAsia" w:ascii="方正仿宋_GBK" w:hAnsi="方正仿宋_GBK" w:eastAsia="方正仿宋_GBK" w:cs="方正仿宋_GBK"/>
          <w:color w:val="000000" w:themeColor="text1"/>
          <w:sz w:val="32"/>
          <w:szCs w:val="32"/>
          <w14:textFill>
            <w14:solidFill>
              <w14:schemeClr w14:val="tx1"/>
            </w14:solidFill>
          </w14:textFill>
        </w:rPr>
        <w:t>不低于</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5</w:t>
      </w:r>
      <w:r>
        <w:rPr>
          <w:rFonts w:hint="eastAsia" w:ascii="方正仿宋_GBK" w:hAnsi="方正仿宋_GBK" w:eastAsia="方正仿宋_GBK" w:cs="方正仿宋_GBK"/>
          <w:color w:val="000000" w:themeColor="text1"/>
          <w:sz w:val="32"/>
          <w:szCs w:val="32"/>
          <w14:textFill>
            <w14:solidFill>
              <w14:schemeClr w14:val="tx1"/>
            </w14:solidFill>
          </w14:textFill>
        </w:rPr>
        <w:t>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p>
    <w:bookmarkEnd w:id="3"/>
    <w:p>
      <w:pPr>
        <w:spacing w:line="560" w:lineRule="exact"/>
        <w:ind w:firstLine="642" w:firstLineChars="200"/>
        <w:rPr>
          <w:rFonts w:hint="eastAsia" w:ascii="方正仿宋_GBK" w:hAnsi="方正仿宋_GBK" w:eastAsia="方正仿宋_GBK" w:cs="方正仿宋_GBK"/>
          <w:b/>
          <w:bCs/>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2.州（市）级单位</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高级</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职称</w:t>
      </w:r>
      <w:r>
        <w:rPr>
          <w:rFonts w:hint="eastAsia" w:ascii="方正仿宋_GBK" w:hAnsi="方正仿宋_GBK" w:eastAsia="方正仿宋_GBK" w:cs="方正仿宋_GBK"/>
          <w:color w:val="000000" w:themeColor="text1"/>
          <w:sz w:val="32"/>
          <w:szCs w:val="32"/>
          <w14:textFill>
            <w14:solidFill>
              <w14:schemeClr w14:val="tx1"/>
            </w14:solidFill>
          </w14:textFill>
        </w:rPr>
        <w:t>卫生专业技术人员每年项目学分不低于20学分，自管学分5学分。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项目学分中，州市级及以上面授项目学分不低于</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11分（</w:t>
      </w:r>
      <w:r>
        <w:rPr>
          <w:rFonts w:hint="eastAsia" w:ascii="方正仿宋_GBK" w:hAnsi="方正仿宋_GBK" w:eastAsia="方正仿宋_GBK" w:cs="方正仿宋_GBK"/>
          <w:color w:val="000000" w:themeColor="text1"/>
          <w:sz w:val="32"/>
          <w:szCs w:val="32"/>
          <w14:textFill>
            <w14:solidFill>
              <w14:schemeClr w14:val="tx1"/>
            </w14:solidFill>
          </w14:textFill>
        </w:rPr>
        <w:t>国家、省级项目学分不低于5学分</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中级</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职称</w:t>
      </w:r>
      <w:r>
        <w:rPr>
          <w:rFonts w:hint="eastAsia" w:ascii="方正仿宋_GBK" w:hAnsi="方正仿宋_GBK" w:eastAsia="方正仿宋_GBK" w:cs="方正仿宋_GBK"/>
          <w:color w:val="000000" w:themeColor="text1"/>
          <w:sz w:val="32"/>
          <w:szCs w:val="32"/>
          <w14:textFill>
            <w14:solidFill>
              <w14:schemeClr w14:val="tx1"/>
            </w14:solidFill>
          </w14:textFill>
        </w:rPr>
        <w:t>卫生专业技术人员每年</w:t>
      </w:r>
      <w:bookmarkStart w:id="4" w:name="OLE_LINK1"/>
      <w:r>
        <w:rPr>
          <w:rFonts w:hint="eastAsia" w:ascii="方正仿宋_GBK" w:hAnsi="方正仿宋_GBK" w:eastAsia="方正仿宋_GBK" w:cs="方正仿宋_GBK"/>
          <w:color w:val="000000" w:themeColor="text1"/>
          <w:sz w:val="32"/>
          <w:szCs w:val="32"/>
          <w14:textFill>
            <w14:solidFill>
              <w14:schemeClr w14:val="tx1"/>
            </w14:solidFill>
          </w14:textFill>
        </w:rPr>
        <w:t>项目学分不低于20学分</w:t>
      </w:r>
      <w:bookmarkEnd w:id="4"/>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自管学分5学分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。项目学分中，</w:t>
      </w:r>
      <w:r>
        <w:rPr>
          <w:rFonts w:hint="eastAsia" w:ascii="方正仿宋_GBK" w:hAnsi="方正仿宋_GBK" w:eastAsia="方正仿宋_GBK" w:cs="方正仿宋_GBK"/>
          <w:color w:val="000000" w:themeColor="text1"/>
          <w:sz w:val="32"/>
          <w:szCs w:val="32"/>
          <w14:textFill>
            <w14:solidFill>
              <w14:schemeClr w14:val="tx1"/>
            </w14:solidFill>
          </w14:textFill>
        </w:rPr>
        <w:t>州市级</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及以上面授</w:t>
      </w:r>
      <w:r>
        <w:rPr>
          <w:rFonts w:hint="eastAsia" w:ascii="方正仿宋_GBK" w:hAnsi="方正仿宋_GBK" w:eastAsia="方正仿宋_GBK" w:cs="方正仿宋_GBK"/>
          <w:color w:val="000000" w:themeColor="text1"/>
          <w:sz w:val="32"/>
          <w:szCs w:val="32"/>
          <w14:textFill>
            <w14:solidFill>
              <w14:schemeClr w14:val="tx1"/>
            </w14:solidFill>
          </w14:textFill>
        </w:rPr>
        <w:t>项目学分不低于5学分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初级</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职称</w:t>
      </w:r>
      <w:r>
        <w:rPr>
          <w:rFonts w:hint="eastAsia" w:ascii="方正仿宋_GBK" w:hAnsi="方正仿宋_GBK" w:eastAsia="方正仿宋_GBK" w:cs="方正仿宋_GBK"/>
          <w:color w:val="000000" w:themeColor="text1"/>
          <w:sz w:val="32"/>
          <w:szCs w:val="32"/>
          <w14:textFill>
            <w14:solidFill>
              <w14:schemeClr w14:val="tx1"/>
            </w14:solidFill>
          </w14:textFill>
        </w:rPr>
        <w:t>卫生专业技术人员每年项目学分不低于20学分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自管学分5学分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。项目学分中，</w:t>
      </w:r>
      <w:r>
        <w:rPr>
          <w:rFonts w:hint="eastAsia" w:ascii="方正仿宋_GBK" w:hAnsi="方正仿宋_GBK" w:eastAsia="方正仿宋_GBK" w:cs="方正仿宋_GBK"/>
          <w:color w:val="000000" w:themeColor="text1"/>
          <w:sz w:val="32"/>
          <w:szCs w:val="32"/>
          <w14:textFill>
            <w14:solidFill>
              <w14:schemeClr w14:val="tx1"/>
            </w14:solidFill>
          </w14:textFill>
        </w:rPr>
        <w:t>州市级</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及以上面授</w:t>
      </w:r>
      <w:r>
        <w:rPr>
          <w:rFonts w:hint="eastAsia" w:ascii="方正仿宋_GBK" w:hAnsi="方正仿宋_GBK" w:eastAsia="方正仿宋_GBK" w:cs="方正仿宋_GBK"/>
          <w:color w:val="000000" w:themeColor="text1"/>
          <w:sz w:val="32"/>
          <w:szCs w:val="32"/>
          <w14:textFill>
            <w14:solidFill>
              <w14:schemeClr w14:val="tx1"/>
            </w14:solidFill>
          </w14:textFill>
        </w:rPr>
        <w:t>项目学分不低于</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3</w:t>
      </w:r>
      <w:r>
        <w:rPr>
          <w:rFonts w:hint="eastAsia" w:ascii="方正仿宋_GBK" w:hAnsi="方正仿宋_GBK" w:eastAsia="方正仿宋_GBK" w:cs="方正仿宋_GBK"/>
          <w:color w:val="000000" w:themeColor="text1"/>
          <w:sz w:val="32"/>
          <w:szCs w:val="32"/>
          <w14:textFill>
            <w14:solidFill>
              <w14:schemeClr w14:val="tx1"/>
            </w14:solidFill>
          </w14:textFill>
        </w:rPr>
        <w:t>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p>
    <w:p>
      <w:pPr>
        <w:spacing w:line="560" w:lineRule="exact"/>
        <w:ind w:firstLine="642" w:firstLineChars="200"/>
        <w:rPr>
          <w:rFonts w:hint="eastAsia" w:ascii="方正仿宋_GBK" w:hAnsi="方正仿宋_GBK" w:eastAsia="方正仿宋_GBK" w:cs="方正仿宋_GBK"/>
          <w:b/>
          <w:bCs/>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3.县级单位</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高级</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职称</w:t>
      </w:r>
      <w:r>
        <w:rPr>
          <w:rFonts w:hint="eastAsia" w:ascii="方正仿宋_GBK" w:hAnsi="方正仿宋_GBK" w:eastAsia="方正仿宋_GBK" w:cs="方正仿宋_GBK"/>
          <w:color w:val="000000" w:themeColor="text1"/>
          <w:sz w:val="32"/>
          <w:szCs w:val="32"/>
          <w14:textFill>
            <w14:solidFill>
              <w14:schemeClr w14:val="tx1"/>
            </w14:solidFill>
          </w14:textFill>
        </w:rPr>
        <w:t>卫生专业技术人员每年项目学分不低于20学分</w:t>
      </w:r>
      <w:bookmarkStart w:id="5" w:name="OLE_LINK3"/>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自管学分5学分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。项目学分中，</w:t>
      </w:r>
      <w:r>
        <w:rPr>
          <w:rFonts w:hint="eastAsia" w:ascii="方正仿宋_GBK" w:hAnsi="方正仿宋_GBK" w:eastAsia="方正仿宋_GBK" w:cs="方正仿宋_GBK"/>
          <w:color w:val="000000" w:themeColor="text1"/>
          <w:sz w:val="32"/>
          <w:szCs w:val="32"/>
          <w14:textFill>
            <w14:solidFill>
              <w14:schemeClr w14:val="tx1"/>
            </w14:solidFill>
          </w14:textFill>
        </w:rPr>
        <w:t>州市级</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及以上面授</w:t>
      </w:r>
      <w:r>
        <w:rPr>
          <w:rFonts w:hint="eastAsia" w:ascii="方正仿宋_GBK" w:hAnsi="方正仿宋_GBK" w:eastAsia="方正仿宋_GBK" w:cs="方正仿宋_GBK"/>
          <w:color w:val="000000" w:themeColor="text1"/>
          <w:sz w:val="32"/>
          <w:szCs w:val="32"/>
          <w14:textFill>
            <w14:solidFill>
              <w14:schemeClr w14:val="tx1"/>
            </w14:solidFill>
          </w14:textFill>
        </w:rPr>
        <w:t>项目学分不低于6学分</w:t>
      </w:r>
      <w:bookmarkEnd w:id="5"/>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中级</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职称</w:t>
      </w:r>
      <w:r>
        <w:rPr>
          <w:rFonts w:hint="eastAsia" w:ascii="方正仿宋_GBK" w:hAnsi="方正仿宋_GBK" w:eastAsia="方正仿宋_GBK" w:cs="方正仿宋_GBK"/>
          <w:color w:val="000000" w:themeColor="text1"/>
          <w:sz w:val="32"/>
          <w:szCs w:val="32"/>
          <w14:textFill>
            <w14:solidFill>
              <w14:schemeClr w14:val="tx1"/>
            </w14:solidFill>
          </w14:textFill>
        </w:rPr>
        <w:t>卫生专业技术人员每年项目学分不低于20学分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自管学分5学分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。项目学分中，</w:t>
      </w:r>
      <w:r>
        <w:rPr>
          <w:rFonts w:hint="eastAsia" w:ascii="方正仿宋_GBK" w:hAnsi="方正仿宋_GBK" w:eastAsia="方正仿宋_GBK" w:cs="方正仿宋_GBK"/>
          <w:color w:val="000000" w:themeColor="text1"/>
          <w:sz w:val="32"/>
          <w:szCs w:val="32"/>
          <w14:textFill>
            <w14:solidFill>
              <w14:schemeClr w14:val="tx1"/>
            </w14:solidFill>
          </w14:textFill>
        </w:rPr>
        <w:t>州市级</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及以上面授</w:t>
      </w:r>
      <w:r>
        <w:rPr>
          <w:rFonts w:hint="eastAsia" w:ascii="方正仿宋_GBK" w:hAnsi="方正仿宋_GBK" w:eastAsia="方正仿宋_GBK" w:cs="方正仿宋_GBK"/>
          <w:color w:val="000000" w:themeColor="text1"/>
          <w:sz w:val="32"/>
          <w:szCs w:val="32"/>
          <w14:textFill>
            <w14:solidFill>
              <w14:schemeClr w14:val="tx1"/>
            </w14:solidFill>
          </w14:textFill>
        </w:rPr>
        <w:t>项目学分不低于5学分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初级</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职称</w:t>
      </w:r>
      <w:r>
        <w:rPr>
          <w:rFonts w:hint="eastAsia" w:ascii="方正仿宋_GBK" w:hAnsi="方正仿宋_GBK" w:eastAsia="方正仿宋_GBK" w:cs="方正仿宋_GBK"/>
          <w:color w:val="000000" w:themeColor="text1"/>
          <w:sz w:val="32"/>
          <w:szCs w:val="32"/>
          <w14:textFill>
            <w14:solidFill>
              <w14:schemeClr w14:val="tx1"/>
            </w14:solidFill>
          </w14:textFill>
        </w:rPr>
        <w:t>卫生专业人技术人员每年项目学分不低于</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20</w:t>
      </w:r>
      <w:r>
        <w:rPr>
          <w:rFonts w:hint="eastAsia" w:ascii="方正仿宋_GBK" w:hAnsi="方正仿宋_GBK" w:eastAsia="方正仿宋_GBK" w:cs="方正仿宋_GBK"/>
          <w:color w:val="000000" w:themeColor="text1"/>
          <w:sz w:val="32"/>
          <w:szCs w:val="32"/>
          <w14:textFill>
            <w14:solidFill>
              <w14:schemeClr w14:val="tx1"/>
            </w14:solidFill>
          </w14:textFill>
        </w:rPr>
        <w:t>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自管学分5学分。</w:t>
      </w:r>
    </w:p>
    <w:p>
      <w:pPr>
        <w:spacing w:line="560" w:lineRule="exact"/>
        <w:ind w:firstLine="642" w:firstLineChars="200"/>
        <w:rPr>
          <w:rFonts w:hint="eastAsia" w:ascii="方正仿宋_GBK" w:hAnsi="方正仿宋_GBK" w:eastAsia="方正仿宋_GBK" w:cs="方正仿宋_GBK"/>
          <w:b/>
          <w:bCs/>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4.乡镇卫生院、社区卫生服务中心</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卫生专业技术人员每年学分不低于15学分，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其中</w:t>
      </w:r>
      <w:r>
        <w:rPr>
          <w:rFonts w:hint="eastAsia" w:ascii="方正仿宋_GBK" w:hAnsi="方正仿宋_GBK" w:eastAsia="方正仿宋_GBK" w:cs="方正仿宋_GBK"/>
          <w:color w:val="000000" w:themeColor="text1"/>
          <w:sz w:val="32"/>
          <w:szCs w:val="32"/>
          <w14:textFill>
            <w14:solidFill>
              <w14:schemeClr w14:val="tx1"/>
            </w14:solidFill>
          </w14:textFill>
        </w:rPr>
        <w:t>项目学分不低于12学分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自管学分3学分。</w:t>
      </w:r>
    </w:p>
    <w:p>
      <w:pPr>
        <w:spacing w:line="560" w:lineRule="exact"/>
        <w:ind w:firstLine="642" w:firstLineChars="200"/>
        <w:rPr>
          <w:rFonts w:hint="eastAsia" w:ascii="方正仿宋_GBK" w:hAnsi="方正仿宋_GBK" w:eastAsia="方正仿宋_GBK" w:cs="方正仿宋_GBK"/>
          <w:b/>
          <w:bCs/>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5.村卫生室、社区卫生服务站</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每年学分不低于10学分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或完成各级卫生健康行政部门安排的培训内容，视为完成当年学分。</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项目学分和自管学分不可互相替代</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面授项目学分可代替远程项目学分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国家级、省级项目学分可代替州（市）级项目学分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州（市）级项目学分可替代50%的国家级、省级项目学分。</w:t>
      </w:r>
    </w:p>
    <w:p>
      <w:pPr>
        <w:spacing w:line="560" w:lineRule="exact"/>
        <w:ind w:firstLine="640" w:firstLineChars="200"/>
        <w:rPr>
          <w:rFonts w:hint="eastAsia" w:ascii="方正黑体_GBK" w:hAnsi="方正黑体_GBK" w:eastAsia="方正黑体_GBK" w:cs="方正黑体_GBK"/>
          <w:color w:val="000000" w:themeColor="text1"/>
          <w:sz w:val="32"/>
          <w:szCs w:val="32"/>
          <w14:textFill>
            <w14:solidFill>
              <w14:schemeClr w14:val="tx1"/>
            </w14:solidFill>
          </w14:textFill>
        </w:rPr>
      </w:pPr>
      <w:r>
        <w:rPr>
          <w:rFonts w:hint="eastAsia" w:ascii="方正黑体_GBK" w:hAnsi="方正黑体_GBK" w:eastAsia="方正黑体_GBK" w:cs="方正黑体_GBK"/>
          <w:color w:val="000000" w:themeColor="text1"/>
          <w:sz w:val="32"/>
          <w:szCs w:val="32"/>
          <w14:textFill>
            <w14:solidFill>
              <w14:schemeClr w14:val="tx1"/>
            </w14:solidFill>
          </w14:textFill>
        </w:rPr>
        <w:t>五、学分登记和管理审验</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（一）各级卫生健康行政部门应当加强继续医学教育活动的形式、内容、考核结果、学分数、举办单位等信息登记管理，推进学习档案信息化建设，推动学分授予、学分审验登记等信息的开放共享。</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（二）项目主办单位</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应</w:t>
      </w:r>
      <w:r>
        <w:rPr>
          <w:rFonts w:hint="eastAsia" w:ascii="方正仿宋_GBK" w:hAnsi="方正仿宋_GBK" w:eastAsia="方正仿宋_GBK" w:cs="方正仿宋_GBK"/>
          <w:color w:val="000000" w:themeColor="text1"/>
          <w:sz w:val="32"/>
          <w:szCs w:val="32"/>
          <w14:textFill>
            <w14:solidFill>
              <w14:schemeClr w14:val="tx1"/>
            </w14:solidFill>
          </w14:textFill>
        </w:rPr>
        <w:t>做好继续医学教育项目编号、项目名称、举办</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时间</w:t>
      </w:r>
      <w:r>
        <w:rPr>
          <w:rFonts w:hint="eastAsia" w:ascii="方正仿宋_GBK" w:hAnsi="方正仿宋_GBK" w:eastAsia="方正仿宋_GBK" w:cs="方正仿宋_GBK"/>
          <w:color w:val="000000" w:themeColor="text1"/>
          <w:sz w:val="32"/>
          <w:szCs w:val="32"/>
          <w14:textFill>
            <w14:solidFill>
              <w14:schemeClr w14:val="tx1"/>
            </w14:solidFill>
          </w14:textFill>
        </w:rPr>
        <w:t>、形式、学分数、考核结果等信息内容登记审核。实际授课教师变动不</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得</w:t>
      </w:r>
      <w:r>
        <w:rPr>
          <w:rFonts w:hint="eastAsia" w:ascii="方正仿宋_GBK" w:hAnsi="方正仿宋_GBK" w:eastAsia="方正仿宋_GBK" w:cs="方正仿宋_GBK"/>
          <w:color w:val="000000" w:themeColor="text1"/>
          <w:sz w:val="32"/>
          <w:szCs w:val="32"/>
          <w14:textFill>
            <w14:solidFill>
              <w14:schemeClr w14:val="tx1"/>
            </w14:solidFill>
          </w14:textFill>
        </w:rPr>
        <w:t>超过原计划授课教师数的30%。</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（三）项目主办单位应当按要求在省级继续医学教育管理系统做好信息登记，国家级、省级</w:t>
      </w:r>
      <w:bookmarkStart w:id="6" w:name="_Hlk200613665"/>
      <w:r>
        <w:rPr>
          <w:rFonts w:hint="eastAsia" w:ascii="方正仿宋_GBK" w:hAnsi="方正仿宋_GBK" w:eastAsia="方正仿宋_GBK" w:cs="方正仿宋_GBK"/>
          <w:color w:val="000000" w:themeColor="text1"/>
          <w:sz w:val="32"/>
          <w:szCs w:val="32"/>
          <w14:textFill>
            <w14:solidFill>
              <w14:schemeClr w14:val="tx1"/>
            </w14:solidFill>
          </w14:textFill>
        </w:rPr>
        <w:t>继续医学教育面授项目</w:t>
      </w:r>
      <w:bookmarkEnd w:id="6"/>
      <w:r>
        <w:rPr>
          <w:rFonts w:hint="eastAsia" w:ascii="方正仿宋_GBK" w:hAnsi="方正仿宋_GBK" w:eastAsia="方正仿宋_GBK" w:cs="方正仿宋_GBK"/>
          <w:color w:val="000000" w:themeColor="text1"/>
          <w:sz w:val="32"/>
          <w:szCs w:val="32"/>
          <w14:textFill>
            <w14:solidFill>
              <w14:schemeClr w14:val="tx1"/>
            </w14:solidFill>
          </w14:textFill>
        </w:rPr>
        <w:t>主办单位应当在举办2周前通过“云南省继续医学教育管理平台”登记开班信息，举办后2周内完成学员考勤和考核、学分预授等执行情况登记，由省卫生健康行政部门审核后发放学分证书；州（市）级继续医学教育面授项目由州（市）卫生健康行政部门审核后发放学分证书。国家卫生健康委、中医药管理局</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、疾病预防控制局</w:t>
      </w:r>
      <w:r>
        <w:rPr>
          <w:rFonts w:hint="eastAsia" w:ascii="方正仿宋_GBK" w:hAnsi="方正仿宋_GBK" w:eastAsia="方正仿宋_GBK" w:cs="方正仿宋_GBK"/>
          <w:color w:val="000000" w:themeColor="text1"/>
          <w:sz w:val="32"/>
          <w:szCs w:val="32"/>
          <w14:textFill>
            <w14:solidFill>
              <w14:schemeClr w14:val="tx1"/>
            </w14:solidFill>
          </w14:textFill>
        </w:rPr>
        <w:t>提供继续医学教育远程项目集中展示平台，供卫生专业技术人员选择学习，对合格者发放相应的学分证书。赴省外参加继续医学教育项目学习所获学分证由所在单位继续医学教育主管部门审核</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登记。</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（四）</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在我省举办的</w:t>
      </w:r>
      <w:r>
        <w:rPr>
          <w:rFonts w:hint="eastAsia" w:ascii="方正仿宋_GBK" w:hAnsi="方正仿宋_GBK" w:eastAsia="方正仿宋_GBK" w:cs="方正仿宋_GBK"/>
          <w:color w:val="000000" w:themeColor="text1"/>
          <w:sz w:val="32"/>
          <w:szCs w:val="32"/>
          <w14:textFill>
            <w14:solidFill>
              <w14:schemeClr w14:val="tx1"/>
            </w14:solidFill>
          </w14:textFill>
        </w:rPr>
        <w:t>跨省（区、市）继续医学教育面授项目，包括国家和各省</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级</w:t>
      </w:r>
      <w:r>
        <w:rPr>
          <w:rFonts w:hint="eastAsia" w:ascii="方正仿宋_GBK" w:hAnsi="方正仿宋_GBK" w:eastAsia="方正仿宋_GBK" w:cs="方正仿宋_GBK"/>
          <w:color w:val="000000" w:themeColor="text1"/>
          <w:sz w:val="32"/>
          <w:szCs w:val="32"/>
          <w14:textFill>
            <w14:solidFill>
              <w14:schemeClr w14:val="tx1"/>
            </w14:solidFill>
          </w14:textFill>
        </w:rPr>
        <w:t>卫生健康委公布的项目，项目主办单位与协办单位应在项目举办2周前</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向</w:t>
      </w:r>
      <w:r>
        <w:rPr>
          <w:rFonts w:hint="eastAsia" w:ascii="方正仿宋_GBK" w:hAnsi="方正仿宋_GBK" w:eastAsia="方正仿宋_GBK" w:cs="方正仿宋_GBK"/>
          <w:color w:val="000000" w:themeColor="text1"/>
          <w:sz w:val="32"/>
          <w:szCs w:val="32"/>
          <w14:textFill>
            <w14:solidFill>
              <w14:schemeClr w14:val="tx1"/>
            </w14:solidFill>
          </w14:textFill>
        </w:rPr>
        <w:t>云南省卫生健康委备案，并在国家和云南省继续医学教育管理系统做好信息登记，</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所授学分须经云南省</w:t>
      </w:r>
      <w:r>
        <w:rPr>
          <w:rFonts w:hint="eastAsia" w:ascii="方正仿宋_GBK" w:hAnsi="方正仿宋_GBK" w:eastAsia="方正仿宋_GBK" w:cs="方正仿宋_GBK"/>
          <w:color w:val="000000" w:themeColor="text1"/>
          <w:sz w:val="32"/>
          <w:szCs w:val="32"/>
          <w14:textFill>
            <w14:solidFill>
              <w14:schemeClr w14:val="tx1"/>
            </w14:solidFill>
          </w14:textFill>
        </w:rPr>
        <w:t>卫生健康</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委审核认可</w:t>
      </w:r>
      <w:r>
        <w:rPr>
          <w:rFonts w:hint="eastAsia" w:ascii="方正仿宋_GBK" w:hAnsi="方正仿宋_GBK" w:eastAsia="方正仿宋_GBK" w:cs="方正仿宋_GBK"/>
          <w:color w:val="000000" w:themeColor="text1"/>
          <w:sz w:val="32"/>
          <w:szCs w:val="32"/>
          <w14:textFill>
            <w14:solidFill>
              <w14:schemeClr w14:val="tx1"/>
            </w14:solidFill>
          </w14:textFill>
        </w:rPr>
        <w:t>。</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五）进修学习、在职学历（学位）教育、中医药师承教育、毕业后医学教育、政府指令性医疗卫生任务、有组织的继续医学教育实践活动、有计划的自学等由个人申请，用人单位审核后授予相应学分。用人单位应建立继续医学教育档案</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做好学分登记管理，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每年将</w:t>
      </w:r>
      <w:r>
        <w:rPr>
          <w:rFonts w:hint="eastAsia" w:ascii="方正仿宋_GBK" w:hAnsi="方正仿宋_GBK" w:eastAsia="方正仿宋_GBK" w:cs="方正仿宋_GBK"/>
          <w:color w:val="000000" w:themeColor="text1"/>
          <w:sz w:val="32"/>
          <w:szCs w:val="32"/>
          <w14:textFill>
            <w14:solidFill>
              <w14:schemeClr w14:val="tx1"/>
            </w14:solidFill>
          </w14:textFill>
        </w:rPr>
        <w:t>本单位卫生专业技术人员参加继续医学教育情况和</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所</w:t>
      </w:r>
      <w:r>
        <w:rPr>
          <w:rFonts w:hint="eastAsia" w:ascii="方正仿宋_GBK" w:hAnsi="方正仿宋_GBK" w:eastAsia="方正仿宋_GBK" w:cs="方正仿宋_GBK"/>
          <w:color w:val="000000" w:themeColor="text1"/>
          <w:sz w:val="32"/>
          <w:szCs w:val="32"/>
          <w14:textFill>
            <w14:solidFill>
              <w14:schemeClr w14:val="tx1"/>
            </w14:solidFill>
          </w14:textFill>
        </w:rPr>
        <w:t>获学分情况上传“云南省继续医学教育管理平台”，由省卫生健康</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委</w:t>
      </w:r>
      <w:r>
        <w:rPr>
          <w:rFonts w:hint="eastAsia" w:ascii="方正仿宋_GBK" w:hAnsi="方正仿宋_GBK" w:eastAsia="方正仿宋_GBK" w:cs="方正仿宋_GBK"/>
          <w:color w:val="000000" w:themeColor="text1"/>
          <w:sz w:val="32"/>
          <w:szCs w:val="32"/>
          <w14:textFill>
            <w14:solidFill>
              <w14:schemeClr w14:val="tx1"/>
            </w14:solidFill>
          </w14:textFill>
        </w:rPr>
        <w:t>审核后记入个人学习档案，作为年度考核的重要内容。</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（六）各级卫生健康行政部门</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应加强</w:t>
      </w:r>
      <w:r>
        <w:rPr>
          <w:rFonts w:hint="eastAsia" w:ascii="方正仿宋_GBK" w:hAnsi="方正仿宋_GBK" w:eastAsia="方正仿宋_GBK" w:cs="方正仿宋_GBK"/>
          <w:color w:val="000000" w:themeColor="text1"/>
          <w:sz w:val="32"/>
          <w:szCs w:val="32"/>
          <w14:textFill>
            <w14:solidFill>
              <w14:schemeClr w14:val="tx1"/>
            </w14:solidFill>
          </w14:textFill>
        </w:rPr>
        <w:t>对学分授予全过程</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的</w:t>
      </w:r>
      <w:r>
        <w:rPr>
          <w:rFonts w:hint="eastAsia" w:ascii="方正仿宋_GBK" w:hAnsi="方正仿宋_GBK" w:eastAsia="方正仿宋_GBK" w:cs="方正仿宋_GBK"/>
          <w:color w:val="000000" w:themeColor="text1"/>
          <w:sz w:val="32"/>
          <w:szCs w:val="32"/>
          <w14:textFill>
            <w14:solidFill>
              <w14:schemeClr w14:val="tx1"/>
            </w14:solidFill>
          </w14:textFill>
        </w:rPr>
        <w:t>监管</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对弄虚作假、乱授学分、滥发证书等违反继续医学教育管理规定的单位，一经查实视情节轻重分别给予批评、通报、1-3年不予受理继续医学教育项目申报等处罚。</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（七）学分审验实行分级管理，一年一次。省卫生健康</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委</w:t>
      </w:r>
      <w:r>
        <w:rPr>
          <w:rFonts w:hint="eastAsia" w:ascii="方正仿宋_GBK" w:hAnsi="方正仿宋_GBK" w:eastAsia="方正仿宋_GBK" w:cs="方正仿宋_GBK"/>
          <w:color w:val="000000" w:themeColor="text1"/>
          <w:sz w:val="32"/>
          <w:szCs w:val="32"/>
          <w14:textFill>
            <w14:solidFill>
              <w14:schemeClr w14:val="tx1"/>
            </w14:solidFill>
          </w14:textFill>
        </w:rPr>
        <w:t>负责县级及以上机构卫生专业技术人员的学分审验；州（市）卫生健康</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委</w:t>
      </w:r>
      <w:r>
        <w:rPr>
          <w:rFonts w:hint="eastAsia" w:ascii="方正仿宋_GBK" w:hAnsi="方正仿宋_GBK" w:eastAsia="方正仿宋_GBK" w:cs="方正仿宋_GBK"/>
          <w:color w:val="000000" w:themeColor="text1"/>
          <w:sz w:val="32"/>
          <w:szCs w:val="32"/>
          <w14:textFill>
            <w14:solidFill>
              <w14:schemeClr w14:val="tx1"/>
            </w14:solidFill>
          </w14:textFill>
        </w:rPr>
        <w:t>负责乡镇卫生院和社区卫生服务</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中心</w:t>
      </w:r>
      <w:r>
        <w:rPr>
          <w:rFonts w:hint="eastAsia" w:ascii="方正仿宋_GBK" w:hAnsi="方正仿宋_GBK" w:eastAsia="方正仿宋_GBK" w:cs="方正仿宋_GBK"/>
          <w:color w:val="000000" w:themeColor="text1"/>
          <w:sz w:val="32"/>
          <w:szCs w:val="32"/>
          <w14:textFill>
            <w14:solidFill>
              <w14:schemeClr w14:val="tx1"/>
            </w14:solidFill>
          </w14:textFill>
        </w:rPr>
        <w:t>卫生专业技术人员的学分审验；县卫生健康</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局</w:t>
      </w:r>
      <w:r>
        <w:rPr>
          <w:rFonts w:hint="eastAsia" w:ascii="方正仿宋_GBK" w:hAnsi="方正仿宋_GBK" w:eastAsia="方正仿宋_GBK" w:cs="方正仿宋_GBK"/>
          <w:color w:val="000000" w:themeColor="text1"/>
          <w:sz w:val="32"/>
          <w:szCs w:val="32"/>
          <w14:textFill>
            <w14:solidFill>
              <w14:schemeClr w14:val="tx1"/>
            </w14:solidFill>
          </w14:textFill>
        </w:rPr>
        <w:t>负责村卫生室、社区卫生服务站卫生专业技术人员的学分审验。审验合格者由</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负责审验的</w:t>
      </w:r>
      <w:r>
        <w:rPr>
          <w:rFonts w:hint="eastAsia" w:ascii="方正仿宋_GBK" w:hAnsi="方正仿宋_GBK" w:eastAsia="方正仿宋_GBK" w:cs="方正仿宋_GBK"/>
          <w:color w:val="000000" w:themeColor="text1"/>
          <w:sz w:val="32"/>
          <w:szCs w:val="32"/>
          <w14:textFill>
            <w14:solidFill>
              <w14:schemeClr w14:val="tx1"/>
            </w14:solidFill>
          </w14:textFill>
        </w:rPr>
        <w:t>卫生健康行政部门发放学分验证合格证书。合格证书可通过“云南省继续医学教育管理平台”自行打印或</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由</w:t>
      </w:r>
      <w:r>
        <w:rPr>
          <w:rFonts w:hint="eastAsia" w:ascii="方正仿宋_GBK" w:hAnsi="方正仿宋_GBK" w:eastAsia="方正仿宋_GBK" w:cs="方正仿宋_GBK"/>
          <w:color w:val="000000" w:themeColor="text1"/>
          <w:sz w:val="32"/>
          <w:szCs w:val="32"/>
          <w14:textFill>
            <w14:solidFill>
              <w14:schemeClr w14:val="tx1"/>
            </w14:solidFill>
          </w14:textFill>
        </w:rPr>
        <w:t>用人单位统一打印</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发放</w:t>
      </w:r>
      <w:r>
        <w:rPr>
          <w:rFonts w:hint="eastAsia" w:ascii="方正仿宋_GBK" w:hAnsi="方正仿宋_GBK" w:eastAsia="方正仿宋_GBK" w:cs="方正仿宋_GBK"/>
          <w:color w:val="000000" w:themeColor="text1"/>
          <w:sz w:val="32"/>
          <w:szCs w:val="32"/>
          <w14:textFill>
            <w14:solidFill>
              <w14:schemeClr w14:val="tx1"/>
            </w14:solidFill>
          </w14:textFill>
        </w:rPr>
        <w:t>。</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六、原《云南省继续医学教育学分授予与管理办法（试行）》（云卫科教发〔</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2013</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2号</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自本方案印发之日起废止。</w:t>
      </w:r>
    </w:p>
    <w:p>
      <w:pPr>
        <w:spacing w:line="56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sectPr>
          <w:footerReference r:id="rId5" w:type="default"/>
          <w:pgSz w:w="11906" w:h="16838"/>
          <w:pgMar w:top="1440" w:right="1800" w:bottom="1440" w:left="1800" w:header="851" w:footer="992" w:gutter="0"/>
          <w:cols w:space="425" w:num="1"/>
          <w:docGrid w:type="lines" w:linePitch="312" w:charSpace="0"/>
        </w:sectPr>
      </w:pPr>
    </w:p>
    <w:p>
      <w:pPr>
        <w:spacing w:line="240" w:lineRule="atLeast"/>
        <w:jc w:val="center"/>
        <w:rPr>
          <w:b/>
          <w:bCs/>
          <w:sz w:val="32"/>
          <w:szCs w:val="32"/>
        </w:rPr>
      </w:pPr>
      <w:r>
        <w:rPr>
          <w:rFonts w:hint="eastAsia"/>
          <w:b/>
          <w:bCs/>
          <w:sz w:val="32"/>
          <w:szCs w:val="32"/>
        </w:rPr>
        <w:t>云南省继续医学教育学分要求</w:t>
      </w:r>
    </w:p>
    <w:tbl>
      <w:tblPr>
        <w:tblStyle w:val="15"/>
        <w:tblW w:w="14425" w:type="dxa"/>
        <w:tblInd w:w="0" w:type="dxa"/>
        <w:tblLayout w:type="fixed"/>
        <w:tblCellMar>
          <w:top w:w="0" w:type="dxa"/>
          <w:left w:w="108" w:type="dxa"/>
          <w:bottom w:w="0" w:type="dxa"/>
          <w:right w:w="108" w:type="dxa"/>
        </w:tblCellMar>
      </w:tblPr>
      <w:tblGrid>
        <w:gridCol w:w="534"/>
        <w:gridCol w:w="923"/>
        <w:gridCol w:w="449"/>
        <w:gridCol w:w="421"/>
        <w:gridCol w:w="431"/>
        <w:gridCol w:w="469"/>
        <w:gridCol w:w="711"/>
        <w:gridCol w:w="477"/>
        <w:gridCol w:w="416"/>
        <w:gridCol w:w="433"/>
        <w:gridCol w:w="616"/>
        <w:gridCol w:w="416"/>
        <w:gridCol w:w="510"/>
        <w:gridCol w:w="445"/>
        <w:gridCol w:w="630"/>
        <w:gridCol w:w="732"/>
        <w:gridCol w:w="426"/>
        <w:gridCol w:w="567"/>
        <w:gridCol w:w="425"/>
        <w:gridCol w:w="425"/>
        <w:gridCol w:w="567"/>
        <w:gridCol w:w="851"/>
        <w:gridCol w:w="567"/>
        <w:gridCol w:w="567"/>
        <w:gridCol w:w="850"/>
        <w:gridCol w:w="567"/>
      </w:tblGrid>
      <w:tr>
        <w:tblPrEx>
          <w:tblCellMar>
            <w:top w:w="0" w:type="dxa"/>
            <w:left w:w="108" w:type="dxa"/>
            <w:bottom w:w="0" w:type="dxa"/>
            <w:right w:w="108" w:type="dxa"/>
          </w:tblCellMar>
        </w:tblPrEx>
        <w:trPr>
          <w:trHeight w:val="298" w:hRule="atLeast"/>
        </w:trPr>
        <w:tc>
          <w:tcPr>
            <w:tcW w:w="534" w:type="dxa"/>
            <w:vMerge w:val="restart"/>
            <w:tcBorders>
              <w:top w:val="single" w:color="auto" w:sz="4" w:space="0"/>
              <w:left w:val="single" w:color="auto" w:sz="4" w:space="0"/>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单位</w:t>
            </w:r>
          </w:p>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级别</w:t>
            </w:r>
          </w:p>
        </w:tc>
        <w:tc>
          <w:tcPr>
            <w:tcW w:w="923" w:type="dxa"/>
            <w:vMerge w:val="restart"/>
            <w:tcBorders>
              <w:top w:val="single" w:color="auto" w:sz="4" w:space="0"/>
              <w:left w:val="single" w:color="auto" w:sz="4" w:space="0"/>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职称</w:t>
            </w:r>
          </w:p>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级别</w:t>
            </w:r>
          </w:p>
        </w:tc>
        <w:tc>
          <w:tcPr>
            <w:tcW w:w="449" w:type="dxa"/>
            <w:vMerge w:val="restart"/>
            <w:tcBorders>
              <w:top w:val="single" w:color="auto" w:sz="4" w:space="0"/>
              <w:left w:val="single" w:color="auto" w:sz="4" w:space="0"/>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总学分</w:t>
            </w:r>
          </w:p>
        </w:tc>
        <w:tc>
          <w:tcPr>
            <w:tcW w:w="2509" w:type="dxa"/>
            <w:gridSpan w:val="5"/>
            <w:vMerge w:val="restart"/>
            <w:tcBorders>
              <w:top w:val="single" w:color="auto" w:sz="4" w:space="0"/>
              <w:left w:val="nil"/>
              <w:right w:val="single" w:color="auto" w:sz="4" w:space="0"/>
            </w:tcBorders>
            <w:vAlign w:val="center"/>
          </w:tcPr>
          <w:p>
            <w:pPr>
              <w:widowControl/>
              <w:spacing w:after="0" w:line="240" w:lineRule="auto"/>
              <w:jc w:val="center"/>
              <w:rPr>
                <w:rFonts w:hint="eastAsia" w:ascii="楷体" w:hAnsi="楷体" w:eastAsia="楷体" w:cs="宋体"/>
                <w:b/>
                <w:bCs/>
                <w:color w:val="000000"/>
                <w:kern w:val="0"/>
                <w:sz w:val="20"/>
                <w:szCs w:val="20"/>
              </w:rPr>
            </w:pPr>
            <w:r>
              <w:rPr>
                <w:rFonts w:hint="eastAsia" w:ascii="楷体" w:hAnsi="楷体" w:eastAsia="楷体" w:cs="宋体"/>
                <w:b/>
                <w:bCs/>
                <w:color w:val="000000"/>
                <w:kern w:val="0"/>
                <w:sz w:val="20"/>
                <w:szCs w:val="20"/>
              </w:rPr>
              <w:t>项目学分</w:t>
            </w:r>
          </w:p>
        </w:tc>
        <w:tc>
          <w:tcPr>
            <w:tcW w:w="10010" w:type="dxa"/>
            <w:gridSpan w:val="18"/>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b/>
                <w:bCs/>
                <w:color w:val="000000"/>
                <w:kern w:val="0"/>
                <w:sz w:val="20"/>
                <w:szCs w:val="20"/>
              </w:rPr>
            </w:pPr>
            <w:r>
              <w:rPr>
                <w:rFonts w:hint="eastAsia" w:ascii="楷体" w:hAnsi="楷体" w:eastAsia="楷体" w:cs="宋体"/>
                <w:b/>
                <w:bCs/>
                <w:color w:val="000000"/>
                <w:kern w:val="0"/>
                <w:sz w:val="20"/>
                <w:szCs w:val="20"/>
              </w:rPr>
              <w:t>自管学分</w:t>
            </w:r>
          </w:p>
        </w:tc>
      </w:tr>
      <w:tr>
        <w:tblPrEx>
          <w:tblCellMar>
            <w:top w:w="0" w:type="dxa"/>
            <w:left w:w="108" w:type="dxa"/>
            <w:bottom w:w="0" w:type="dxa"/>
            <w:right w:w="108" w:type="dxa"/>
          </w:tblCellMar>
        </w:tblPrEx>
        <w:trPr>
          <w:trHeight w:val="277" w:hRule="atLeast"/>
        </w:trPr>
        <w:tc>
          <w:tcPr>
            <w:tcW w:w="534" w:type="dxa"/>
            <w:vMerge w:val="continue"/>
            <w:tcBorders>
              <w:top w:val="single" w:color="auto" w:sz="4" w:space="0"/>
              <w:left w:val="single" w:color="auto" w:sz="4" w:space="0"/>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p>
        </w:tc>
        <w:tc>
          <w:tcPr>
            <w:tcW w:w="449" w:type="dxa"/>
            <w:vMerge w:val="continue"/>
            <w:tcBorders>
              <w:top w:val="single" w:color="auto" w:sz="4" w:space="0"/>
              <w:left w:val="single" w:color="auto" w:sz="4" w:space="0"/>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p>
        </w:tc>
        <w:tc>
          <w:tcPr>
            <w:tcW w:w="2509" w:type="dxa"/>
            <w:gridSpan w:val="5"/>
            <w:vMerge w:val="continue"/>
            <w:tcBorders>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b/>
                <w:bCs/>
                <w:color w:val="000000"/>
                <w:kern w:val="0"/>
                <w:sz w:val="20"/>
                <w:szCs w:val="20"/>
              </w:rPr>
            </w:pPr>
          </w:p>
        </w:tc>
        <w:tc>
          <w:tcPr>
            <w:tcW w:w="4624" w:type="dxa"/>
            <w:gridSpan w:val="9"/>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b/>
                <w:bCs/>
                <w:color w:val="000000"/>
                <w:kern w:val="0"/>
                <w:sz w:val="20"/>
                <w:szCs w:val="20"/>
              </w:rPr>
            </w:pPr>
            <w:r>
              <w:rPr>
                <w:rFonts w:hint="eastAsia" w:ascii="楷体" w:hAnsi="楷体" w:eastAsia="楷体" w:cs="宋体"/>
                <w:b/>
                <w:bCs/>
                <w:color w:val="000000"/>
                <w:kern w:val="0"/>
                <w:sz w:val="20"/>
                <w:szCs w:val="20"/>
              </w:rPr>
              <w:t>A类</w:t>
            </w:r>
          </w:p>
        </w:tc>
        <w:tc>
          <w:tcPr>
            <w:tcW w:w="2835" w:type="dxa"/>
            <w:gridSpan w:val="5"/>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b/>
                <w:bCs/>
                <w:color w:val="000000"/>
                <w:kern w:val="0"/>
                <w:sz w:val="20"/>
                <w:szCs w:val="20"/>
              </w:rPr>
            </w:pPr>
            <w:r>
              <w:rPr>
                <w:rFonts w:hint="eastAsia" w:ascii="楷体" w:hAnsi="楷体" w:eastAsia="楷体" w:cs="宋体"/>
                <w:b/>
                <w:bCs/>
                <w:color w:val="000000"/>
                <w:kern w:val="0"/>
                <w:sz w:val="20"/>
                <w:szCs w:val="20"/>
              </w:rPr>
              <w:t>B类</w:t>
            </w:r>
          </w:p>
        </w:tc>
        <w:tc>
          <w:tcPr>
            <w:tcW w:w="1134" w:type="dxa"/>
            <w:gridSpan w:val="2"/>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b/>
                <w:bCs/>
                <w:color w:val="000000"/>
                <w:kern w:val="0"/>
                <w:sz w:val="20"/>
                <w:szCs w:val="20"/>
              </w:rPr>
            </w:pPr>
            <w:r>
              <w:rPr>
                <w:rFonts w:hint="eastAsia" w:ascii="楷体" w:hAnsi="楷体" w:eastAsia="楷体" w:cs="宋体"/>
                <w:b/>
                <w:bCs/>
                <w:color w:val="000000"/>
                <w:kern w:val="0"/>
                <w:sz w:val="20"/>
                <w:szCs w:val="20"/>
              </w:rPr>
              <w:t>C类</w:t>
            </w:r>
          </w:p>
        </w:tc>
        <w:tc>
          <w:tcPr>
            <w:tcW w:w="850" w:type="dxa"/>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b/>
                <w:bCs/>
                <w:color w:val="000000"/>
                <w:kern w:val="0"/>
                <w:sz w:val="20"/>
                <w:szCs w:val="20"/>
              </w:rPr>
            </w:pPr>
            <w:r>
              <w:rPr>
                <w:rFonts w:hint="eastAsia" w:ascii="楷体" w:hAnsi="楷体" w:eastAsia="楷体" w:cs="宋体"/>
                <w:b/>
                <w:bCs/>
                <w:color w:val="000000"/>
                <w:kern w:val="0"/>
                <w:sz w:val="20"/>
                <w:szCs w:val="20"/>
              </w:rPr>
              <w:t>D类</w:t>
            </w:r>
          </w:p>
        </w:tc>
        <w:tc>
          <w:tcPr>
            <w:tcW w:w="567" w:type="dxa"/>
            <w:vMerge w:val="restart"/>
            <w:tcBorders>
              <w:top w:val="single" w:color="auto" w:sz="4" w:space="0"/>
              <w:left w:val="nil"/>
              <w:right w:val="single" w:color="auto" w:sz="4" w:space="0"/>
            </w:tcBorders>
            <w:vAlign w:val="center"/>
          </w:tcPr>
          <w:p>
            <w:pPr>
              <w:spacing w:after="0" w:line="240" w:lineRule="auto"/>
              <w:jc w:val="center"/>
              <w:rPr>
                <w:rFonts w:hint="eastAsia" w:ascii="楷体" w:hAnsi="楷体" w:eastAsia="楷体" w:cs="宋体"/>
                <w:b/>
                <w:bCs/>
                <w:color w:val="000000"/>
                <w:kern w:val="0"/>
                <w:sz w:val="20"/>
                <w:szCs w:val="20"/>
              </w:rPr>
            </w:pPr>
            <w:r>
              <w:rPr>
                <w:rFonts w:hint="eastAsia" w:ascii="楷体" w:hAnsi="楷体" w:eastAsia="楷体" w:cs="宋体"/>
                <w:color w:val="000000"/>
                <w:kern w:val="0"/>
                <w:sz w:val="20"/>
                <w:szCs w:val="20"/>
              </w:rPr>
              <w:t>小计</w:t>
            </w:r>
          </w:p>
        </w:tc>
      </w:tr>
      <w:tr>
        <w:tblPrEx>
          <w:tblCellMar>
            <w:top w:w="0" w:type="dxa"/>
            <w:left w:w="108" w:type="dxa"/>
            <w:bottom w:w="0" w:type="dxa"/>
            <w:right w:w="108" w:type="dxa"/>
          </w:tblCellMar>
        </w:tblPrEx>
        <w:trPr>
          <w:trHeight w:val="2407" w:hRule="atLeast"/>
        </w:trPr>
        <w:tc>
          <w:tcPr>
            <w:tcW w:w="534" w:type="dxa"/>
            <w:vMerge w:val="continue"/>
            <w:tcBorders>
              <w:top w:val="single" w:color="auto" w:sz="4" w:space="0"/>
              <w:left w:val="single" w:color="auto" w:sz="4" w:space="0"/>
              <w:bottom w:val="single" w:color="auto" w:sz="4" w:space="0"/>
              <w:right w:val="single" w:color="auto" w:sz="4" w:space="0"/>
            </w:tcBorders>
            <w:vAlign w:val="center"/>
          </w:tcPr>
          <w:p>
            <w:pPr>
              <w:widowControl/>
              <w:spacing w:after="0" w:line="240" w:lineRule="auto"/>
              <w:jc w:val="left"/>
              <w:rPr>
                <w:rFonts w:hint="eastAsia" w:ascii="楷体" w:hAnsi="楷体" w:eastAsia="楷体" w:cs="宋体"/>
                <w:color w:val="000000"/>
                <w:kern w:val="0"/>
                <w:sz w:val="20"/>
                <w:szCs w:val="20"/>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widowControl/>
              <w:spacing w:after="0" w:line="240" w:lineRule="auto"/>
              <w:jc w:val="left"/>
              <w:rPr>
                <w:rFonts w:hint="eastAsia" w:ascii="楷体" w:hAnsi="楷体" w:eastAsia="楷体" w:cs="宋体"/>
                <w:color w:val="000000"/>
                <w:kern w:val="0"/>
                <w:sz w:val="20"/>
                <w:szCs w:val="20"/>
              </w:rPr>
            </w:pPr>
          </w:p>
        </w:tc>
        <w:tc>
          <w:tcPr>
            <w:tcW w:w="449" w:type="dxa"/>
            <w:vMerge w:val="continue"/>
            <w:tcBorders>
              <w:top w:val="single" w:color="auto" w:sz="4" w:space="0"/>
              <w:left w:val="single" w:color="auto" w:sz="4" w:space="0"/>
              <w:bottom w:val="single" w:color="auto" w:sz="4" w:space="0"/>
              <w:right w:val="single" w:color="auto" w:sz="4" w:space="0"/>
            </w:tcBorders>
            <w:vAlign w:val="center"/>
          </w:tcPr>
          <w:p>
            <w:pPr>
              <w:widowControl/>
              <w:spacing w:after="0" w:line="240" w:lineRule="auto"/>
              <w:jc w:val="left"/>
              <w:rPr>
                <w:rFonts w:hint="eastAsia" w:ascii="楷体" w:hAnsi="楷体" w:eastAsia="楷体" w:cs="宋体"/>
                <w:color w:val="000000"/>
                <w:kern w:val="0"/>
                <w:sz w:val="20"/>
                <w:szCs w:val="20"/>
              </w:rPr>
            </w:pPr>
          </w:p>
        </w:tc>
        <w:tc>
          <w:tcPr>
            <w:tcW w:w="421"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国家级</w:t>
            </w:r>
          </w:p>
        </w:tc>
        <w:tc>
          <w:tcPr>
            <w:tcW w:w="431"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省级</w:t>
            </w:r>
          </w:p>
        </w:tc>
        <w:tc>
          <w:tcPr>
            <w:tcW w:w="469"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州市级</w:t>
            </w:r>
          </w:p>
        </w:tc>
        <w:tc>
          <w:tcPr>
            <w:tcW w:w="711"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远程</w:t>
            </w:r>
          </w:p>
        </w:tc>
        <w:tc>
          <w:tcPr>
            <w:tcW w:w="477"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小计</w:t>
            </w:r>
          </w:p>
        </w:tc>
        <w:tc>
          <w:tcPr>
            <w:tcW w:w="416"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发表文章类</w:t>
            </w:r>
          </w:p>
        </w:tc>
        <w:tc>
          <w:tcPr>
            <w:tcW w:w="433"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出版著作类</w:t>
            </w:r>
          </w:p>
        </w:tc>
        <w:tc>
          <w:tcPr>
            <w:tcW w:w="616"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出国考察、国内专题调研报告类</w:t>
            </w:r>
          </w:p>
        </w:tc>
        <w:tc>
          <w:tcPr>
            <w:tcW w:w="416"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发表医学译文类</w:t>
            </w:r>
          </w:p>
        </w:tc>
        <w:tc>
          <w:tcPr>
            <w:tcW w:w="510"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组织申报科研项目</w:t>
            </w:r>
          </w:p>
        </w:tc>
        <w:tc>
          <w:tcPr>
            <w:tcW w:w="445"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参与科研项目类</w:t>
            </w:r>
          </w:p>
        </w:tc>
        <w:tc>
          <w:tcPr>
            <w:tcW w:w="630"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组织申报继续医学教育类</w:t>
            </w:r>
          </w:p>
        </w:tc>
        <w:tc>
          <w:tcPr>
            <w:tcW w:w="732"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参与继续医学教育项目授课类</w:t>
            </w:r>
          </w:p>
        </w:tc>
        <w:tc>
          <w:tcPr>
            <w:tcW w:w="426"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参与专业考试命题</w:t>
            </w:r>
          </w:p>
        </w:tc>
        <w:tc>
          <w:tcPr>
            <w:tcW w:w="567"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单位组织学术报告类</w:t>
            </w:r>
          </w:p>
        </w:tc>
        <w:tc>
          <w:tcPr>
            <w:tcW w:w="425"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单位组织专题讲座类</w:t>
            </w:r>
          </w:p>
        </w:tc>
        <w:tc>
          <w:tcPr>
            <w:tcW w:w="425"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技术操作示教类</w:t>
            </w:r>
          </w:p>
        </w:tc>
        <w:tc>
          <w:tcPr>
            <w:tcW w:w="567"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新技术推广类</w:t>
            </w:r>
          </w:p>
        </w:tc>
        <w:tc>
          <w:tcPr>
            <w:tcW w:w="851"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健康宣教、承担教学或带教</w:t>
            </w:r>
          </w:p>
        </w:tc>
        <w:tc>
          <w:tcPr>
            <w:tcW w:w="567"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临床病案讨论类</w:t>
            </w:r>
          </w:p>
        </w:tc>
        <w:tc>
          <w:tcPr>
            <w:tcW w:w="567"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临床查房类</w:t>
            </w:r>
          </w:p>
        </w:tc>
        <w:tc>
          <w:tcPr>
            <w:tcW w:w="850"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自学类</w:t>
            </w:r>
          </w:p>
        </w:tc>
        <w:tc>
          <w:tcPr>
            <w:tcW w:w="567" w:type="dxa"/>
            <w:vMerge w:val="continue"/>
            <w:tcBorders>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p>
        </w:tc>
      </w:tr>
      <w:tr>
        <w:tblPrEx>
          <w:tblCellMar>
            <w:top w:w="0" w:type="dxa"/>
            <w:left w:w="108" w:type="dxa"/>
            <w:bottom w:w="0" w:type="dxa"/>
            <w:right w:w="108" w:type="dxa"/>
          </w:tblCellMar>
        </w:tblPrEx>
        <w:trPr>
          <w:trHeight w:val="298" w:hRule="atLeast"/>
        </w:trPr>
        <w:tc>
          <w:tcPr>
            <w:tcW w:w="534" w:type="dxa"/>
            <w:vMerge w:val="restart"/>
            <w:tcBorders>
              <w:top w:val="nil"/>
              <w:left w:val="single" w:color="auto" w:sz="4" w:space="0"/>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省级</w:t>
            </w:r>
          </w:p>
        </w:tc>
        <w:tc>
          <w:tcPr>
            <w:tcW w:w="923"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高级</w:t>
            </w:r>
          </w:p>
        </w:tc>
        <w:tc>
          <w:tcPr>
            <w:tcW w:w="449"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25</w:t>
            </w:r>
          </w:p>
        </w:tc>
        <w:tc>
          <w:tcPr>
            <w:tcW w:w="852" w:type="dxa"/>
            <w:gridSpan w:val="2"/>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≥9</w:t>
            </w:r>
          </w:p>
        </w:tc>
        <w:tc>
          <w:tcPr>
            <w:tcW w:w="469"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3</w:t>
            </w:r>
          </w:p>
        </w:tc>
        <w:tc>
          <w:tcPr>
            <w:tcW w:w="711"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≤8</w:t>
            </w:r>
          </w:p>
        </w:tc>
        <w:tc>
          <w:tcPr>
            <w:tcW w:w="477"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20</w:t>
            </w:r>
          </w:p>
        </w:tc>
        <w:tc>
          <w:tcPr>
            <w:tcW w:w="4624" w:type="dxa"/>
            <w:gridSpan w:val="9"/>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w:t>
            </w:r>
          </w:p>
        </w:tc>
        <w:tc>
          <w:tcPr>
            <w:tcW w:w="2835" w:type="dxa"/>
            <w:gridSpan w:val="5"/>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≥2</w:t>
            </w:r>
          </w:p>
        </w:tc>
        <w:tc>
          <w:tcPr>
            <w:tcW w:w="1134" w:type="dxa"/>
            <w:gridSpan w:val="2"/>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w:t>
            </w:r>
          </w:p>
        </w:tc>
        <w:tc>
          <w:tcPr>
            <w:tcW w:w="850"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w:t>
            </w:r>
          </w:p>
        </w:tc>
        <w:tc>
          <w:tcPr>
            <w:tcW w:w="567"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5</w:t>
            </w:r>
          </w:p>
        </w:tc>
      </w:tr>
      <w:tr>
        <w:tblPrEx>
          <w:tblCellMar>
            <w:top w:w="0" w:type="dxa"/>
            <w:left w:w="108" w:type="dxa"/>
            <w:bottom w:w="0" w:type="dxa"/>
            <w:right w:w="108" w:type="dxa"/>
          </w:tblCellMar>
        </w:tblPrEx>
        <w:trPr>
          <w:trHeight w:val="298" w:hRule="atLeast"/>
        </w:trPr>
        <w:tc>
          <w:tcPr>
            <w:tcW w:w="534" w:type="dxa"/>
            <w:vMerge w:val="continue"/>
            <w:tcBorders>
              <w:top w:val="nil"/>
              <w:left w:val="single" w:color="auto" w:sz="4" w:space="0"/>
              <w:bottom w:val="single" w:color="auto" w:sz="4" w:space="0"/>
              <w:right w:val="single" w:color="auto" w:sz="4" w:space="0"/>
            </w:tcBorders>
            <w:vAlign w:val="center"/>
          </w:tcPr>
          <w:p>
            <w:pPr>
              <w:widowControl/>
              <w:spacing w:after="0" w:line="240" w:lineRule="auto"/>
              <w:jc w:val="left"/>
              <w:rPr>
                <w:rFonts w:hint="eastAsia" w:ascii="楷体" w:hAnsi="楷体" w:eastAsia="楷体" w:cs="宋体"/>
                <w:color w:val="000000"/>
                <w:kern w:val="0"/>
                <w:sz w:val="20"/>
                <w:szCs w:val="20"/>
              </w:rPr>
            </w:pPr>
          </w:p>
        </w:tc>
        <w:tc>
          <w:tcPr>
            <w:tcW w:w="923"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中级</w:t>
            </w:r>
          </w:p>
        </w:tc>
        <w:tc>
          <w:tcPr>
            <w:tcW w:w="449"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25</w:t>
            </w:r>
          </w:p>
        </w:tc>
        <w:tc>
          <w:tcPr>
            <w:tcW w:w="852" w:type="dxa"/>
            <w:gridSpan w:val="2"/>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≥6</w:t>
            </w:r>
          </w:p>
        </w:tc>
        <w:tc>
          <w:tcPr>
            <w:tcW w:w="469"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4</w:t>
            </w:r>
          </w:p>
        </w:tc>
        <w:tc>
          <w:tcPr>
            <w:tcW w:w="711"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≤10</w:t>
            </w:r>
          </w:p>
        </w:tc>
        <w:tc>
          <w:tcPr>
            <w:tcW w:w="477"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20</w:t>
            </w:r>
          </w:p>
        </w:tc>
        <w:tc>
          <w:tcPr>
            <w:tcW w:w="4624" w:type="dxa"/>
            <w:gridSpan w:val="9"/>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不要求</w:t>
            </w:r>
          </w:p>
        </w:tc>
        <w:tc>
          <w:tcPr>
            <w:tcW w:w="2835" w:type="dxa"/>
            <w:gridSpan w:val="5"/>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≥2.5</w:t>
            </w:r>
          </w:p>
        </w:tc>
        <w:tc>
          <w:tcPr>
            <w:tcW w:w="1134" w:type="dxa"/>
            <w:gridSpan w:val="2"/>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≥1.5</w:t>
            </w:r>
          </w:p>
        </w:tc>
        <w:tc>
          <w:tcPr>
            <w:tcW w:w="850"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w:t>
            </w:r>
          </w:p>
        </w:tc>
        <w:tc>
          <w:tcPr>
            <w:tcW w:w="567"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5</w:t>
            </w:r>
          </w:p>
        </w:tc>
      </w:tr>
      <w:tr>
        <w:tblPrEx>
          <w:tblCellMar>
            <w:top w:w="0" w:type="dxa"/>
            <w:left w:w="108" w:type="dxa"/>
            <w:bottom w:w="0" w:type="dxa"/>
            <w:right w:w="108" w:type="dxa"/>
          </w:tblCellMar>
        </w:tblPrEx>
        <w:trPr>
          <w:trHeight w:val="298" w:hRule="atLeast"/>
        </w:trPr>
        <w:tc>
          <w:tcPr>
            <w:tcW w:w="534" w:type="dxa"/>
            <w:vMerge w:val="continue"/>
            <w:tcBorders>
              <w:top w:val="nil"/>
              <w:left w:val="single" w:color="auto" w:sz="4" w:space="0"/>
              <w:bottom w:val="single" w:color="auto" w:sz="4" w:space="0"/>
              <w:right w:val="single" w:color="auto" w:sz="4" w:space="0"/>
            </w:tcBorders>
            <w:vAlign w:val="center"/>
          </w:tcPr>
          <w:p>
            <w:pPr>
              <w:widowControl/>
              <w:spacing w:after="0" w:line="240" w:lineRule="auto"/>
              <w:jc w:val="left"/>
              <w:rPr>
                <w:rFonts w:hint="eastAsia" w:ascii="楷体" w:hAnsi="楷体" w:eastAsia="楷体" w:cs="宋体"/>
                <w:color w:val="000000"/>
                <w:kern w:val="0"/>
                <w:sz w:val="20"/>
                <w:szCs w:val="20"/>
              </w:rPr>
            </w:pPr>
          </w:p>
        </w:tc>
        <w:tc>
          <w:tcPr>
            <w:tcW w:w="923"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初级</w:t>
            </w:r>
          </w:p>
        </w:tc>
        <w:tc>
          <w:tcPr>
            <w:tcW w:w="449"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25</w:t>
            </w:r>
          </w:p>
        </w:tc>
        <w:tc>
          <w:tcPr>
            <w:tcW w:w="1321" w:type="dxa"/>
            <w:gridSpan w:val="3"/>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≥5</w:t>
            </w:r>
          </w:p>
        </w:tc>
        <w:tc>
          <w:tcPr>
            <w:tcW w:w="711"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≤15</w:t>
            </w:r>
          </w:p>
        </w:tc>
        <w:tc>
          <w:tcPr>
            <w:tcW w:w="477"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20</w:t>
            </w:r>
          </w:p>
        </w:tc>
        <w:tc>
          <w:tcPr>
            <w:tcW w:w="4624" w:type="dxa"/>
            <w:gridSpan w:val="9"/>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不要求</w:t>
            </w:r>
          </w:p>
        </w:tc>
        <w:tc>
          <w:tcPr>
            <w:tcW w:w="2835" w:type="dxa"/>
            <w:gridSpan w:val="5"/>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w:t>
            </w:r>
          </w:p>
        </w:tc>
        <w:tc>
          <w:tcPr>
            <w:tcW w:w="1134" w:type="dxa"/>
            <w:gridSpan w:val="2"/>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≥3</w:t>
            </w:r>
          </w:p>
        </w:tc>
        <w:tc>
          <w:tcPr>
            <w:tcW w:w="850"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w:t>
            </w:r>
          </w:p>
        </w:tc>
        <w:tc>
          <w:tcPr>
            <w:tcW w:w="567"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5</w:t>
            </w:r>
          </w:p>
        </w:tc>
      </w:tr>
      <w:tr>
        <w:tblPrEx>
          <w:tblCellMar>
            <w:top w:w="0" w:type="dxa"/>
            <w:left w:w="108" w:type="dxa"/>
            <w:bottom w:w="0" w:type="dxa"/>
            <w:right w:w="108" w:type="dxa"/>
          </w:tblCellMar>
        </w:tblPrEx>
        <w:trPr>
          <w:trHeight w:val="298" w:hRule="atLeast"/>
        </w:trPr>
        <w:tc>
          <w:tcPr>
            <w:tcW w:w="534" w:type="dxa"/>
            <w:vMerge w:val="restart"/>
            <w:tcBorders>
              <w:top w:val="nil"/>
              <w:left w:val="single" w:color="auto" w:sz="4" w:space="0"/>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州市级</w:t>
            </w:r>
          </w:p>
        </w:tc>
        <w:tc>
          <w:tcPr>
            <w:tcW w:w="923"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高级</w:t>
            </w:r>
          </w:p>
        </w:tc>
        <w:tc>
          <w:tcPr>
            <w:tcW w:w="449"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25</w:t>
            </w:r>
          </w:p>
        </w:tc>
        <w:tc>
          <w:tcPr>
            <w:tcW w:w="852" w:type="dxa"/>
            <w:gridSpan w:val="2"/>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≥5</w:t>
            </w:r>
          </w:p>
        </w:tc>
        <w:tc>
          <w:tcPr>
            <w:tcW w:w="469"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6</w:t>
            </w:r>
          </w:p>
        </w:tc>
        <w:tc>
          <w:tcPr>
            <w:tcW w:w="711"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≤9</w:t>
            </w:r>
          </w:p>
        </w:tc>
        <w:tc>
          <w:tcPr>
            <w:tcW w:w="477"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20</w:t>
            </w:r>
          </w:p>
        </w:tc>
        <w:tc>
          <w:tcPr>
            <w:tcW w:w="4624" w:type="dxa"/>
            <w:gridSpan w:val="9"/>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≥0.5</w:t>
            </w:r>
          </w:p>
        </w:tc>
        <w:tc>
          <w:tcPr>
            <w:tcW w:w="2835" w:type="dxa"/>
            <w:gridSpan w:val="5"/>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≥2.5</w:t>
            </w:r>
          </w:p>
        </w:tc>
        <w:tc>
          <w:tcPr>
            <w:tcW w:w="1134" w:type="dxa"/>
            <w:gridSpan w:val="2"/>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w:t>
            </w:r>
          </w:p>
        </w:tc>
        <w:tc>
          <w:tcPr>
            <w:tcW w:w="850"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w:t>
            </w:r>
          </w:p>
        </w:tc>
        <w:tc>
          <w:tcPr>
            <w:tcW w:w="567"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5</w:t>
            </w:r>
          </w:p>
        </w:tc>
      </w:tr>
      <w:tr>
        <w:tblPrEx>
          <w:tblCellMar>
            <w:top w:w="0" w:type="dxa"/>
            <w:left w:w="108" w:type="dxa"/>
            <w:bottom w:w="0" w:type="dxa"/>
            <w:right w:w="108" w:type="dxa"/>
          </w:tblCellMar>
        </w:tblPrEx>
        <w:trPr>
          <w:trHeight w:val="298" w:hRule="atLeast"/>
        </w:trPr>
        <w:tc>
          <w:tcPr>
            <w:tcW w:w="534" w:type="dxa"/>
            <w:vMerge w:val="continue"/>
            <w:tcBorders>
              <w:top w:val="nil"/>
              <w:left w:val="single" w:color="auto" w:sz="4" w:space="0"/>
              <w:bottom w:val="single" w:color="auto" w:sz="4" w:space="0"/>
              <w:right w:val="single" w:color="auto" w:sz="4" w:space="0"/>
            </w:tcBorders>
            <w:vAlign w:val="center"/>
          </w:tcPr>
          <w:p>
            <w:pPr>
              <w:widowControl/>
              <w:spacing w:after="0" w:line="240" w:lineRule="auto"/>
              <w:jc w:val="left"/>
              <w:rPr>
                <w:rFonts w:hint="eastAsia" w:ascii="楷体" w:hAnsi="楷体" w:eastAsia="楷体" w:cs="宋体"/>
                <w:color w:val="000000"/>
                <w:kern w:val="0"/>
                <w:sz w:val="20"/>
                <w:szCs w:val="20"/>
              </w:rPr>
            </w:pPr>
          </w:p>
        </w:tc>
        <w:tc>
          <w:tcPr>
            <w:tcW w:w="923"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中级</w:t>
            </w:r>
          </w:p>
        </w:tc>
        <w:tc>
          <w:tcPr>
            <w:tcW w:w="449"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25</w:t>
            </w:r>
          </w:p>
        </w:tc>
        <w:tc>
          <w:tcPr>
            <w:tcW w:w="1321" w:type="dxa"/>
            <w:gridSpan w:val="3"/>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≥5</w:t>
            </w:r>
          </w:p>
        </w:tc>
        <w:tc>
          <w:tcPr>
            <w:tcW w:w="711"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≤15</w:t>
            </w:r>
          </w:p>
        </w:tc>
        <w:tc>
          <w:tcPr>
            <w:tcW w:w="477"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20</w:t>
            </w:r>
          </w:p>
        </w:tc>
        <w:tc>
          <w:tcPr>
            <w:tcW w:w="4624" w:type="dxa"/>
            <w:gridSpan w:val="9"/>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不要求</w:t>
            </w:r>
          </w:p>
        </w:tc>
        <w:tc>
          <w:tcPr>
            <w:tcW w:w="2835" w:type="dxa"/>
            <w:gridSpan w:val="5"/>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w:t>
            </w:r>
          </w:p>
        </w:tc>
        <w:tc>
          <w:tcPr>
            <w:tcW w:w="1134" w:type="dxa"/>
            <w:gridSpan w:val="2"/>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≥3</w:t>
            </w:r>
          </w:p>
        </w:tc>
        <w:tc>
          <w:tcPr>
            <w:tcW w:w="850"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w:t>
            </w:r>
          </w:p>
        </w:tc>
        <w:tc>
          <w:tcPr>
            <w:tcW w:w="567"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5</w:t>
            </w:r>
          </w:p>
        </w:tc>
      </w:tr>
      <w:tr>
        <w:tblPrEx>
          <w:tblCellMar>
            <w:top w:w="0" w:type="dxa"/>
            <w:left w:w="108" w:type="dxa"/>
            <w:bottom w:w="0" w:type="dxa"/>
            <w:right w:w="108" w:type="dxa"/>
          </w:tblCellMar>
        </w:tblPrEx>
        <w:trPr>
          <w:trHeight w:val="298" w:hRule="atLeast"/>
        </w:trPr>
        <w:tc>
          <w:tcPr>
            <w:tcW w:w="534" w:type="dxa"/>
            <w:vMerge w:val="continue"/>
            <w:tcBorders>
              <w:top w:val="nil"/>
              <w:left w:val="single" w:color="auto" w:sz="4" w:space="0"/>
              <w:bottom w:val="single" w:color="auto" w:sz="4" w:space="0"/>
              <w:right w:val="single" w:color="auto" w:sz="4" w:space="0"/>
            </w:tcBorders>
            <w:vAlign w:val="center"/>
          </w:tcPr>
          <w:p>
            <w:pPr>
              <w:widowControl/>
              <w:spacing w:after="0" w:line="240" w:lineRule="auto"/>
              <w:jc w:val="left"/>
              <w:rPr>
                <w:rFonts w:hint="eastAsia" w:ascii="楷体" w:hAnsi="楷体" w:eastAsia="楷体" w:cs="宋体"/>
                <w:color w:val="000000"/>
                <w:kern w:val="0"/>
                <w:sz w:val="20"/>
                <w:szCs w:val="20"/>
              </w:rPr>
            </w:pPr>
          </w:p>
        </w:tc>
        <w:tc>
          <w:tcPr>
            <w:tcW w:w="923"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初级</w:t>
            </w:r>
          </w:p>
        </w:tc>
        <w:tc>
          <w:tcPr>
            <w:tcW w:w="449"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25</w:t>
            </w:r>
          </w:p>
        </w:tc>
        <w:tc>
          <w:tcPr>
            <w:tcW w:w="1321" w:type="dxa"/>
            <w:gridSpan w:val="3"/>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≥3</w:t>
            </w:r>
          </w:p>
        </w:tc>
        <w:tc>
          <w:tcPr>
            <w:tcW w:w="711"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≤17</w:t>
            </w:r>
          </w:p>
        </w:tc>
        <w:tc>
          <w:tcPr>
            <w:tcW w:w="477"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20</w:t>
            </w:r>
          </w:p>
        </w:tc>
        <w:tc>
          <w:tcPr>
            <w:tcW w:w="4624" w:type="dxa"/>
            <w:gridSpan w:val="9"/>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不要求</w:t>
            </w:r>
          </w:p>
        </w:tc>
        <w:tc>
          <w:tcPr>
            <w:tcW w:w="2835" w:type="dxa"/>
            <w:gridSpan w:val="5"/>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≥0.5</w:t>
            </w:r>
          </w:p>
        </w:tc>
        <w:tc>
          <w:tcPr>
            <w:tcW w:w="1134" w:type="dxa"/>
            <w:gridSpan w:val="2"/>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≥3</w:t>
            </w:r>
          </w:p>
        </w:tc>
        <w:tc>
          <w:tcPr>
            <w:tcW w:w="850"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≤1.5</w:t>
            </w:r>
          </w:p>
        </w:tc>
        <w:tc>
          <w:tcPr>
            <w:tcW w:w="567"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5</w:t>
            </w:r>
          </w:p>
        </w:tc>
      </w:tr>
      <w:tr>
        <w:tblPrEx>
          <w:tblCellMar>
            <w:top w:w="0" w:type="dxa"/>
            <w:left w:w="108" w:type="dxa"/>
            <w:bottom w:w="0" w:type="dxa"/>
            <w:right w:w="108" w:type="dxa"/>
          </w:tblCellMar>
        </w:tblPrEx>
        <w:trPr>
          <w:trHeight w:val="298" w:hRule="atLeast"/>
        </w:trPr>
        <w:tc>
          <w:tcPr>
            <w:tcW w:w="534" w:type="dxa"/>
            <w:vMerge w:val="restart"/>
            <w:tcBorders>
              <w:top w:val="nil"/>
              <w:left w:val="single" w:color="auto" w:sz="4" w:space="0"/>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县级</w:t>
            </w:r>
          </w:p>
        </w:tc>
        <w:tc>
          <w:tcPr>
            <w:tcW w:w="923"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高级</w:t>
            </w:r>
          </w:p>
        </w:tc>
        <w:tc>
          <w:tcPr>
            <w:tcW w:w="449"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25</w:t>
            </w:r>
          </w:p>
        </w:tc>
        <w:tc>
          <w:tcPr>
            <w:tcW w:w="1321" w:type="dxa"/>
            <w:gridSpan w:val="3"/>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≥6</w:t>
            </w:r>
          </w:p>
        </w:tc>
        <w:tc>
          <w:tcPr>
            <w:tcW w:w="711"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≤14</w:t>
            </w:r>
          </w:p>
        </w:tc>
        <w:tc>
          <w:tcPr>
            <w:tcW w:w="477"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20</w:t>
            </w:r>
          </w:p>
        </w:tc>
        <w:tc>
          <w:tcPr>
            <w:tcW w:w="4624" w:type="dxa"/>
            <w:gridSpan w:val="9"/>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不要求</w:t>
            </w:r>
          </w:p>
        </w:tc>
        <w:tc>
          <w:tcPr>
            <w:tcW w:w="2835" w:type="dxa"/>
            <w:gridSpan w:val="5"/>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≥2</w:t>
            </w:r>
          </w:p>
        </w:tc>
        <w:tc>
          <w:tcPr>
            <w:tcW w:w="1134" w:type="dxa"/>
            <w:gridSpan w:val="2"/>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≥2</w:t>
            </w:r>
          </w:p>
        </w:tc>
        <w:tc>
          <w:tcPr>
            <w:tcW w:w="850"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w:t>
            </w:r>
          </w:p>
        </w:tc>
        <w:tc>
          <w:tcPr>
            <w:tcW w:w="567"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5</w:t>
            </w:r>
          </w:p>
        </w:tc>
      </w:tr>
      <w:tr>
        <w:tblPrEx>
          <w:tblCellMar>
            <w:top w:w="0" w:type="dxa"/>
            <w:left w:w="108" w:type="dxa"/>
            <w:bottom w:w="0" w:type="dxa"/>
            <w:right w:w="108" w:type="dxa"/>
          </w:tblCellMar>
        </w:tblPrEx>
        <w:trPr>
          <w:trHeight w:val="298" w:hRule="atLeast"/>
        </w:trPr>
        <w:tc>
          <w:tcPr>
            <w:tcW w:w="534" w:type="dxa"/>
            <w:vMerge w:val="continue"/>
            <w:tcBorders>
              <w:top w:val="nil"/>
              <w:left w:val="single" w:color="auto" w:sz="4" w:space="0"/>
              <w:bottom w:val="single" w:color="auto" w:sz="4" w:space="0"/>
              <w:right w:val="single" w:color="auto" w:sz="4" w:space="0"/>
            </w:tcBorders>
            <w:vAlign w:val="center"/>
          </w:tcPr>
          <w:p>
            <w:pPr>
              <w:widowControl/>
              <w:spacing w:after="0" w:line="240" w:lineRule="auto"/>
              <w:jc w:val="left"/>
              <w:rPr>
                <w:rFonts w:hint="eastAsia" w:ascii="楷体" w:hAnsi="楷体" w:eastAsia="楷体" w:cs="宋体"/>
                <w:color w:val="000000"/>
                <w:kern w:val="0"/>
                <w:sz w:val="20"/>
                <w:szCs w:val="20"/>
              </w:rPr>
            </w:pPr>
          </w:p>
        </w:tc>
        <w:tc>
          <w:tcPr>
            <w:tcW w:w="923"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中级</w:t>
            </w:r>
          </w:p>
        </w:tc>
        <w:tc>
          <w:tcPr>
            <w:tcW w:w="449"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25</w:t>
            </w:r>
          </w:p>
        </w:tc>
        <w:tc>
          <w:tcPr>
            <w:tcW w:w="1321" w:type="dxa"/>
            <w:gridSpan w:val="3"/>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≥5</w:t>
            </w:r>
          </w:p>
        </w:tc>
        <w:tc>
          <w:tcPr>
            <w:tcW w:w="711" w:type="dxa"/>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≤15</w:t>
            </w:r>
          </w:p>
        </w:tc>
        <w:tc>
          <w:tcPr>
            <w:tcW w:w="477"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20</w:t>
            </w:r>
          </w:p>
        </w:tc>
        <w:tc>
          <w:tcPr>
            <w:tcW w:w="4624" w:type="dxa"/>
            <w:gridSpan w:val="9"/>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不要求</w:t>
            </w:r>
          </w:p>
        </w:tc>
        <w:tc>
          <w:tcPr>
            <w:tcW w:w="2835" w:type="dxa"/>
            <w:gridSpan w:val="5"/>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w:t>
            </w:r>
          </w:p>
        </w:tc>
        <w:tc>
          <w:tcPr>
            <w:tcW w:w="1134" w:type="dxa"/>
            <w:gridSpan w:val="2"/>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≥3</w:t>
            </w:r>
          </w:p>
        </w:tc>
        <w:tc>
          <w:tcPr>
            <w:tcW w:w="850"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w:t>
            </w:r>
          </w:p>
        </w:tc>
        <w:tc>
          <w:tcPr>
            <w:tcW w:w="567"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5</w:t>
            </w:r>
          </w:p>
        </w:tc>
      </w:tr>
      <w:tr>
        <w:tblPrEx>
          <w:tblCellMar>
            <w:top w:w="0" w:type="dxa"/>
            <w:left w:w="108" w:type="dxa"/>
            <w:bottom w:w="0" w:type="dxa"/>
            <w:right w:w="108" w:type="dxa"/>
          </w:tblCellMar>
        </w:tblPrEx>
        <w:trPr>
          <w:trHeight w:val="298" w:hRule="atLeast"/>
        </w:trPr>
        <w:tc>
          <w:tcPr>
            <w:tcW w:w="534" w:type="dxa"/>
            <w:vMerge w:val="continue"/>
            <w:tcBorders>
              <w:top w:val="nil"/>
              <w:left w:val="single" w:color="auto" w:sz="4" w:space="0"/>
              <w:bottom w:val="single" w:color="auto" w:sz="4" w:space="0"/>
              <w:right w:val="single" w:color="auto" w:sz="4" w:space="0"/>
            </w:tcBorders>
            <w:vAlign w:val="center"/>
          </w:tcPr>
          <w:p>
            <w:pPr>
              <w:widowControl/>
              <w:spacing w:after="0" w:line="240" w:lineRule="auto"/>
              <w:jc w:val="left"/>
              <w:rPr>
                <w:rFonts w:hint="eastAsia" w:ascii="楷体" w:hAnsi="楷体" w:eastAsia="楷体" w:cs="宋体"/>
                <w:color w:val="000000"/>
                <w:kern w:val="0"/>
                <w:sz w:val="20"/>
                <w:szCs w:val="20"/>
              </w:rPr>
            </w:pPr>
          </w:p>
        </w:tc>
        <w:tc>
          <w:tcPr>
            <w:tcW w:w="923"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初级</w:t>
            </w:r>
          </w:p>
        </w:tc>
        <w:tc>
          <w:tcPr>
            <w:tcW w:w="449"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2</w:t>
            </w:r>
            <w:r>
              <w:rPr>
                <w:rFonts w:hint="eastAsia" w:ascii="楷体" w:hAnsi="楷体" w:eastAsia="楷体" w:cs="宋体"/>
                <w:color w:val="000000"/>
                <w:kern w:val="0"/>
                <w:sz w:val="20"/>
                <w:szCs w:val="20"/>
                <w:lang w:val="en-US" w:eastAsia="zh-CN"/>
              </w:rPr>
              <w:t>5</w:t>
            </w:r>
          </w:p>
        </w:tc>
        <w:tc>
          <w:tcPr>
            <w:tcW w:w="2032" w:type="dxa"/>
            <w:gridSpan w:val="4"/>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lang w:val="en-US" w:eastAsia="zh-CN"/>
              </w:rPr>
            </w:pPr>
            <w:r>
              <w:rPr>
                <w:rFonts w:hint="eastAsia" w:ascii="楷体" w:hAnsi="楷体" w:eastAsia="楷体" w:cs="宋体"/>
                <w:color w:val="000000"/>
                <w:kern w:val="0"/>
                <w:sz w:val="20"/>
                <w:szCs w:val="20"/>
                <w:lang w:val="en-US" w:eastAsia="zh-CN"/>
              </w:rPr>
              <w:t>20</w:t>
            </w:r>
          </w:p>
        </w:tc>
        <w:tc>
          <w:tcPr>
            <w:tcW w:w="477"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lang w:val="en-US" w:eastAsia="zh-CN"/>
              </w:rPr>
            </w:pPr>
            <w:r>
              <w:rPr>
                <w:rFonts w:hint="eastAsia" w:ascii="楷体" w:hAnsi="楷体" w:eastAsia="楷体" w:cs="宋体"/>
                <w:color w:val="000000"/>
                <w:kern w:val="0"/>
                <w:sz w:val="20"/>
                <w:szCs w:val="20"/>
                <w:lang w:val="en-US" w:eastAsia="zh-CN"/>
              </w:rPr>
              <w:t>20</w:t>
            </w:r>
          </w:p>
        </w:tc>
        <w:tc>
          <w:tcPr>
            <w:tcW w:w="4624" w:type="dxa"/>
            <w:gridSpan w:val="9"/>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不要求</w:t>
            </w:r>
          </w:p>
        </w:tc>
        <w:tc>
          <w:tcPr>
            <w:tcW w:w="2835" w:type="dxa"/>
            <w:gridSpan w:val="5"/>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≥0.5</w:t>
            </w:r>
          </w:p>
        </w:tc>
        <w:tc>
          <w:tcPr>
            <w:tcW w:w="1134" w:type="dxa"/>
            <w:gridSpan w:val="2"/>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≥3</w:t>
            </w:r>
          </w:p>
        </w:tc>
        <w:tc>
          <w:tcPr>
            <w:tcW w:w="850"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≤1.5</w:t>
            </w:r>
          </w:p>
        </w:tc>
        <w:tc>
          <w:tcPr>
            <w:tcW w:w="567"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5</w:t>
            </w:r>
          </w:p>
        </w:tc>
      </w:tr>
      <w:tr>
        <w:tblPrEx>
          <w:tblCellMar>
            <w:top w:w="0" w:type="dxa"/>
            <w:left w:w="108" w:type="dxa"/>
            <w:bottom w:w="0" w:type="dxa"/>
            <w:right w:w="108" w:type="dxa"/>
          </w:tblCellMar>
        </w:tblPrEx>
        <w:trPr>
          <w:trHeight w:val="503" w:hRule="atLeast"/>
        </w:trPr>
        <w:tc>
          <w:tcPr>
            <w:tcW w:w="534" w:type="dxa"/>
            <w:vMerge w:val="restart"/>
            <w:tcBorders>
              <w:top w:val="nil"/>
              <w:left w:val="single" w:color="auto" w:sz="4" w:space="0"/>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基层</w:t>
            </w:r>
          </w:p>
        </w:tc>
        <w:tc>
          <w:tcPr>
            <w:tcW w:w="923"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乡镇、</w:t>
            </w:r>
          </w:p>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社区</w:t>
            </w:r>
          </w:p>
        </w:tc>
        <w:tc>
          <w:tcPr>
            <w:tcW w:w="449"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15</w:t>
            </w:r>
          </w:p>
        </w:tc>
        <w:tc>
          <w:tcPr>
            <w:tcW w:w="2032" w:type="dxa"/>
            <w:gridSpan w:val="4"/>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12</w:t>
            </w:r>
          </w:p>
        </w:tc>
        <w:tc>
          <w:tcPr>
            <w:tcW w:w="477"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12</w:t>
            </w:r>
          </w:p>
        </w:tc>
        <w:tc>
          <w:tcPr>
            <w:tcW w:w="4624" w:type="dxa"/>
            <w:gridSpan w:val="9"/>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不要求</w:t>
            </w:r>
          </w:p>
        </w:tc>
        <w:tc>
          <w:tcPr>
            <w:tcW w:w="2835" w:type="dxa"/>
            <w:gridSpan w:val="5"/>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≥0.5</w:t>
            </w:r>
          </w:p>
        </w:tc>
        <w:tc>
          <w:tcPr>
            <w:tcW w:w="1134" w:type="dxa"/>
            <w:gridSpan w:val="2"/>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≥2</w:t>
            </w:r>
          </w:p>
        </w:tc>
        <w:tc>
          <w:tcPr>
            <w:tcW w:w="850"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≤0.5</w:t>
            </w:r>
          </w:p>
        </w:tc>
        <w:tc>
          <w:tcPr>
            <w:tcW w:w="567"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3</w:t>
            </w:r>
          </w:p>
        </w:tc>
      </w:tr>
      <w:tr>
        <w:tblPrEx>
          <w:tblCellMar>
            <w:top w:w="0" w:type="dxa"/>
            <w:left w:w="108" w:type="dxa"/>
            <w:bottom w:w="0" w:type="dxa"/>
            <w:right w:w="108" w:type="dxa"/>
          </w:tblCellMar>
        </w:tblPrEx>
        <w:trPr>
          <w:trHeight w:val="298" w:hRule="atLeast"/>
        </w:trPr>
        <w:tc>
          <w:tcPr>
            <w:tcW w:w="534" w:type="dxa"/>
            <w:vMerge w:val="continue"/>
            <w:tcBorders>
              <w:top w:val="nil"/>
              <w:left w:val="single" w:color="auto" w:sz="4" w:space="0"/>
              <w:bottom w:val="single" w:color="auto" w:sz="4" w:space="0"/>
              <w:right w:val="single" w:color="auto" w:sz="4" w:space="0"/>
            </w:tcBorders>
            <w:vAlign w:val="center"/>
          </w:tcPr>
          <w:p>
            <w:pPr>
              <w:widowControl/>
              <w:spacing w:after="0" w:line="240" w:lineRule="auto"/>
              <w:jc w:val="left"/>
              <w:rPr>
                <w:rFonts w:hint="eastAsia" w:ascii="楷体" w:hAnsi="楷体" w:eastAsia="楷体" w:cs="宋体"/>
                <w:color w:val="000000"/>
                <w:kern w:val="0"/>
                <w:sz w:val="20"/>
                <w:szCs w:val="20"/>
              </w:rPr>
            </w:pPr>
          </w:p>
        </w:tc>
        <w:tc>
          <w:tcPr>
            <w:tcW w:w="923"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卫生室、社区服务站</w:t>
            </w:r>
          </w:p>
        </w:tc>
        <w:tc>
          <w:tcPr>
            <w:tcW w:w="449"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10</w:t>
            </w:r>
          </w:p>
        </w:tc>
        <w:tc>
          <w:tcPr>
            <w:tcW w:w="2032" w:type="dxa"/>
            <w:gridSpan w:val="4"/>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10</w:t>
            </w:r>
          </w:p>
        </w:tc>
        <w:tc>
          <w:tcPr>
            <w:tcW w:w="477"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10</w:t>
            </w:r>
          </w:p>
        </w:tc>
        <w:tc>
          <w:tcPr>
            <w:tcW w:w="9443" w:type="dxa"/>
            <w:gridSpan w:val="17"/>
            <w:tcBorders>
              <w:top w:val="single" w:color="auto" w:sz="4" w:space="0"/>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不要求</w:t>
            </w:r>
          </w:p>
        </w:tc>
        <w:tc>
          <w:tcPr>
            <w:tcW w:w="567" w:type="dxa"/>
            <w:tcBorders>
              <w:top w:val="nil"/>
              <w:left w:val="nil"/>
              <w:bottom w:val="single" w:color="auto" w:sz="4" w:space="0"/>
              <w:right w:val="single" w:color="auto" w:sz="4" w:space="0"/>
            </w:tcBorders>
            <w:vAlign w:val="center"/>
          </w:tcPr>
          <w:p>
            <w:pPr>
              <w:widowControl/>
              <w:spacing w:after="0" w:line="240" w:lineRule="auto"/>
              <w:jc w:val="center"/>
              <w:rPr>
                <w:rFonts w:hint="eastAsia" w:ascii="楷体" w:hAnsi="楷体" w:eastAsia="楷体" w:cs="宋体"/>
                <w:color w:val="000000"/>
                <w:kern w:val="0"/>
                <w:sz w:val="20"/>
                <w:szCs w:val="20"/>
              </w:rPr>
            </w:pPr>
            <w:r>
              <w:rPr>
                <w:rFonts w:hint="eastAsia" w:ascii="楷体" w:hAnsi="楷体" w:eastAsia="楷体" w:cs="宋体"/>
                <w:color w:val="000000"/>
                <w:kern w:val="0"/>
                <w:sz w:val="20"/>
                <w:szCs w:val="20"/>
              </w:rPr>
              <w:t>0</w:t>
            </w:r>
          </w:p>
        </w:tc>
      </w:tr>
    </w:tbl>
    <w:p>
      <w:pPr>
        <w:rPr>
          <w:rFonts w:hint="eastAsia" w:asciiTheme="minorEastAsia" w:hAnsiTheme="minorEastAsia"/>
          <w:color w:val="000000" w:themeColor="text1"/>
          <w:kern w:val="0"/>
          <w:szCs w:val="21"/>
          <w14:textFill>
            <w14:solidFill>
              <w14:schemeClr w14:val="tx1"/>
            </w14:solidFill>
          </w14:textFill>
        </w:rPr>
      </w:pPr>
      <w:r>
        <w:rPr>
          <w:rFonts w:hint="eastAsia" w:asciiTheme="minorEastAsia" w:hAnsiTheme="minorEastAsia"/>
          <w:color w:val="000000" w:themeColor="text1"/>
          <w:kern w:val="0"/>
          <w:szCs w:val="21"/>
          <w14:textFill>
            <w14:solidFill>
              <w14:schemeClr w14:val="tx1"/>
            </w14:solidFill>
          </w14:textFill>
        </w:rPr>
        <w:t>备注：学分分为项目学分和自管学分，项目学分和自管学分不可以互相替代；面授项目学分可以代替远程项目学分；国家级、省级项目学分可以代替州（市）级项目学分；州（市）级项目学分可以替代50%的国家级、省级项目学分。自管A类学分可以代替B、C、D类学分，B类学分可以代替C、D类学分，C类学分可以代替D类学分；反之不可替代。</w:t>
      </w:r>
    </w:p>
    <w:sectPr>
      <w:pgSz w:w="16838" w:h="11906" w:orient="landscape"/>
      <w:pgMar w:top="707" w:right="1304" w:bottom="567" w:left="1304" w:header="850" w:footer="454" w:gutter="0"/>
      <w:cols w:space="0"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upright="true">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zql5uc8AAAAFAQAADwAAAAAAAAABACAAAAA4AAAAZHJzL2Rvd25yZXYu&#10;eG1sUEsBAhQAFAAAAAgAh07iQJ8c/wy1AQAAVAMAAA4AAAAAAAAAAQAgAAAANAEAAGRycy9lMm9E&#10;b2MueG1sUEsFBgAAAAAGAAYAWQEAAFsFAAAAAA==&#10;">
              <v:fill on="f" focussize="0,0"/>
              <v:stroke on="f"/>
              <v:imagedata o:title=""/>
              <o:lock v:ext="edit" aspectratio="f"/>
              <v:textbox inset="0mm,0mm,0mm,0mm" style="mso-fit-shape-to-text:t;">
                <w:txbxContent>
                  <w:p>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7F8595"/>
    <w:multiLevelType w:val="singleLevel"/>
    <w:tmpl w:val="DF7F8595"/>
    <w:lvl w:ilvl="0" w:tentative="0">
      <w:start w:val="7"/>
      <w:numFmt w:val="chineseCounting"/>
      <w:suff w:val="nothing"/>
      <w:lvlText w:val="（%1）"/>
      <w:lvlJc w:val="left"/>
      <w:rPr>
        <w:rFonts w:hint="eastAsia"/>
      </w:rPr>
    </w:lvl>
  </w:abstractNum>
  <w:abstractNum w:abstractNumId="1">
    <w:nsid w:val="FF5C956A"/>
    <w:multiLevelType w:val="singleLevel"/>
    <w:tmpl w:val="FF5C956A"/>
    <w:lvl w:ilvl="0" w:tentative="0">
      <w:start w:val="8"/>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revisionView w:markup="0"/>
  <w:trackRevisions w:val="tru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E46"/>
    <w:rsid w:val="000048E8"/>
    <w:rsid w:val="000056AE"/>
    <w:rsid w:val="00012EB6"/>
    <w:rsid w:val="000335C4"/>
    <w:rsid w:val="00033C72"/>
    <w:rsid w:val="00055F80"/>
    <w:rsid w:val="00056C0D"/>
    <w:rsid w:val="000616B0"/>
    <w:rsid w:val="00096933"/>
    <w:rsid w:val="000A031F"/>
    <w:rsid w:val="000A07AF"/>
    <w:rsid w:val="000D7D8E"/>
    <w:rsid w:val="000D7EFA"/>
    <w:rsid w:val="000E271F"/>
    <w:rsid w:val="000F3803"/>
    <w:rsid w:val="000F3F33"/>
    <w:rsid w:val="000F3F35"/>
    <w:rsid w:val="00105EC9"/>
    <w:rsid w:val="00111B96"/>
    <w:rsid w:val="00113ECA"/>
    <w:rsid w:val="00117CB8"/>
    <w:rsid w:val="001218FE"/>
    <w:rsid w:val="0012372D"/>
    <w:rsid w:val="00131816"/>
    <w:rsid w:val="001348BB"/>
    <w:rsid w:val="00142E6D"/>
    <w:rsid w:val="0015026C"/>
    <w:rsid w:val="00152B71"/>
    <w:rsid w:val="00152D3E"/>
    <w:rsid w:val="00152F62"/>
    <w:rsid w:val="00165B5B"/>
    <w:rsid w:val="00192AEE"/>
    <w:rsid w:val="00194164"/>
    <w:rsid w:val="001A6596"/>
    <w:rsid w:val="001B5CAB"/>
    <w:rsid w:val="001C0218"/>
    <w:rsid w:val="001D13CD"/>
    <w:rsid w:val="001E4E6A"/>
    <w:rsid w:val="001E5CD2"/>
    <w:rsid w:val="001F6C1D"/>
    <w:rsid w:val="002044FF"/>
    <w:rsid w:val="0021356B"/>
    <w:rsid w:val="0023228B"/>
    <w:rsid w:val="002360E1"/>
    <w:rsid w:val="00246D4B"/>
    <w:rsid w:val="002547EE"/>
    <w:rsid w:val="00255992"/>
    <w:rsid w:val="0026147B"/>
    <w:rsid w:val="002657F6"/>
    <w:rsid w:val="00270071"/>
    <w:rsid w:val="00273BF5"/>
    <w:rsid w:val="00277A52"/>
    <w:rsid w:val="00281021"/>
    <w:rsid w:val="002923AE"/>
    <w:rsid w:val="002A0A66"/>
    <w:rsid w:val="002A48B5"/>
    <w:rsid w:val="002B0175"/>
    <w:rsid w:val="002B3B35"/>
    <w:rsid w:val="002C3158"/>
    <w:rsid w:val="002D013F"/>
    <w:rsid w:val="002D4CE2"/>
    <w:rsid w:val="002E24FD"/>
    <w:rsid w:val="002E3EEB"/>
    <w:rsid w:val="002E3F48"/>
    <w:rsid w:val="002F6FFF"/>
    <w:rsid w:val="00303B0B"/>
    <w:rsid w:val="00307544"/>
    <w:rsid w:val="003135BC"/>
    <w:rsid w:val="00337BC9"/>
    <w:rsid w:val="00346F88"/>
    <w:rsid w:val="00354C1B"/>
    <w:rsid w:val="00370E8B"/>
    <w:rsid w:val="00374B0B"/>
    <w:rsid w:val="00387E16"/>
    <w:rsid w:val="003B17B0"/>
    <w:rsid w:val="003C3712"/>
    <w:rsid w:val="003C61C0"/>
    <w:rsid w:val="003D4913"/>
    <w:rsid w:val="003E138A"/>
    <w:rsid w:val="003E7C6C"/>
    <w:rsid w:val="00416EA3"/>
    <w:rsid w:val="004304C0"/>
    <w:rsid w:val="00430861"/>
    <w:rsid w:val="0043498F"/>
    <w:rsid w:val="0043552B"/>
    <w:rsid w:val="00435E95"/>
    <w:rsid w:val="00436AF4"/>
    <w:rsid w:val="004420A8"/>
    <w:rsid w:val="00451F26"/>
    <w:rsid w:val="00460517"/>
    <w:rsid w:val="00466044"/>
    <w:rsid w:val="004A6874"/>
    <w:rsid w:val="004B090B"/>
    <w:rsid w:val="004D3973"/>
    <w:rsid w:val="004F3DCD"/>
    <w:rsid w:val="004F453B"/>
    <w:rsid w:val="00504EA2"/>
    <w:rsid w:val="005140AC"/>
    <w:rsid w:val="0052655D"/>
    <w:rsid w:val="00526830"/>
    <w:rsid w:val="005315B1"/>
    <w:rsid w:val="00540B6D"/>
    <w:rsid w:val="00544CDD"/>
    <w:rsid w:val="0057312A"/>
    <w:rsid w:val="00595BEA"/>
    <w:rsid w:val="005964A5"/>
    <w:rsid w:val="005A25A2"/>
    <w:rsid w:val="005C04BA"/>
    <w:rsid w:val="005C2037"/>
    <w:rsid w:val="005C3493"/>
    <w:rsid w:val="005D14A1"/>
    <w:rsid w:val="005D5957"/>
    <w:rsid w:val="005D5AB8"/>
    <w:rsid w:val="005D5EBF"/>
    <w:rsid w:val="005E0B04"/>
    <w:rsid w:val="005F0D68"/>
    <w:rsid w:val="005F0DFA"/>
    <w:rsid w:val="005F19AB"/>
    <w:rsid w:val="005F5F88"/>
    <w:rsid w:val="00617F82"/>
    <w:rsid w:val="00627BB8"/>
    <w:rsid w:val="00635025"/>
    <w:rsid w:val="00640EF9"/>
    <w:rsid w:val="00641755"/>
    <w:rsid w:val="006431D5"/>
    <w:rsid w:val="00650B51"/>
    <w:rsid w:val="00652EDD"/>
    <w:rsid w:val="00653431"/>
    <w:rsid w:val="00657E1E"/>
    <w:rsid w:val="0067439A"/>
    <w:rsid w:val="00677487"/>
    <w:rsid w:val="00681CBB"/>
    <w:rsid w:val="00682B2A"/>
    <w:rsid w:val="00690ACB"/>
    <w:rsid w:val="006933BC"/>
    <w:rsid w:val="00693EC8"/>
    <w:rsid w:val="006A17B1"/>
    <w:rsid w:val="006B0067"/>
    <w:rsid w:val="006B0EBA"/>
    <w:rsid w:val="006B1D29"/>
    <w:rsid w:val="006B3BD5"/>
    <w:rsid w:val="006C69A0"/>
    <w:rsid w:val="006D3337"/>
    <w:rsid w:val="006E1216"/>
    <w:rsid w:val="006E20D7"/>
    <w:rsid w:val="006E3375"/>
    <w:rsid w:val="006E5749"/>
    <w:rsid w:val="0070293E"/>
    <w:rsid w:val="00712019"/>
    <w:rsid w:val="00715C88"/>
    <w:rsid w:val="00715C99"/>
    <w:rsid w:val="00733D79"/>
    <w:rsid w:val="007478C1"/>
    <w:rsid w:val="00747D90"/>
    <w:rsid w:val="00747EBD"/>
    <w:rsid w:val="00750AEF"/>
    <w:rsid w:val="007640F2"/>
    <w:rsid w:val="00774EF6"/>
    <w:rsid w:val="007762DF"/>
    <w:rsid w:val="007766F4"/>
    <w:rsid w:val="00780710"/>
    <w:rsid w:val="00783914"/>
    <w:rsid w:val="007849BB"/>
    <w:rsid w:val="00794E30"/>
    <w:rsid w:val="007A3EFD"/>
    <w:rsid w:val="007B69E4"/>
    <w:rsid w:val="007C1AFE"/>
    <w:rsid w:val="007C4DA8"/>
    <w:rsid w:val="007D7C09"/>
    <w:rsid w:val="007E7CFB"/>
    <w:rsid w:val="007E7F42"/>
    <w:rsid w:val="007F2514"/>
    <w:rsid w:val="007F763D"/>
    <w:rsid w:val="00804915"/>
    <w:rsid w:val="008213F2"/>
    <w:rsid w:val="00835DCA"/>
    <w:rsid w:val="008364CE"/>
    <w:rsid w:val="00851F2F"/>
    <w:rsid w:val="008540E3"/>
    <w:rsid w:val="0086251D"/>
    <w:rsid w:val="0086512A"/>
    <w:rsid w:val="00870693"/>
    <w:rsid w:val="00871442"/>
    <w:rsid w:val="00873609"/>
    <w:rsid w:val="00876613"/>
    <w:rsid w:val="00881142"/>
    <w:rsid w:val="008834A0"/>
    <w:rsid w:val="008866C4"/>
    <w:rsid w:val="00892C11"/>
    <w:rsid w:val="008950D7"/>
    <w:rsid w:val="008953B2"/>
    <w:rsid w:val="008A06AE"/>
    <w:rsid w:val="008A3DF5"/>
    <w:rsid w:val="008A4D78"/>
    <w:rsid w:val="008B3EC2"/>
    <w:rsid w:val="008C3E0D"/>
    <w:rsid w:val="008D35B5"/>
    <w:rsid w:val="008E3860"/>
    <w:rsid w:val="008E454F"/>
    <w:rsid w:val="008F0DAC"/>
    <w:rsid w:val="008F1E98"/>
    <w:rsid w:val="009053F3"/>
    <w:rsid w:val="0091621A"/>
    <w:rsid w:val="00922772"/>
    <w:rsid w:val="009370D3"/>
    <w:rsid w:val="009372C7"/>
    <w:rsid w:val="0094156E"/>
    <w:rsid w:val="00945CEA"/>
    <w:rsid w:val="00953096"/>
    <w:rsid w:val="00957713"/>
    <w:rsid w:val="00966FF7"/>
    <w:rsid w:val="0098087A"/>
    <w:rsid w:val="0098255F"/>
    <w:rsid w:val="009941D3"/>
    <w:rsid w:val="00994AB7"/>
    <w:rsid w:val="009E78DF"/>
    <w:rsid w:val="00A061FD"/>
    <w:rsid w:val="00A06814"/>
    <w:rsid w:val="00A15B66"/>
    <w:rsid w:val="00A2051A"/>
    <w:rsid w:val="00A22D80"/>
    <w:rsid w:val="00A23ECE"/>
    <w:rsid w:val="00A25075"/>
    <w:rsid w:val="00A25675"/>
    <w:rsid w:val="00A400C4"/>
    <w:rsid w:val="00A44D63"/>
    <w:rsid w:val="00A478B9"/>
    <w:rsid w:val="00A535A7"/>
    <w:rsid w:val="00A66324"/>
    <w:rsid w:val="00A953E3"/>
    <w:rsid w:val="00A970C7"/>
    <w:rsid w:val="00AC2FF7"/>
    <w:rsid w:val="00AC7F83"/>
    <w:rsid w:val="00AD230F"/>
    <w:rsid w:val="00AD37D0"/>
    <w:rsid w:val="00AD4D47"/>
    <w:rsid w:val="00AD7F60"/>
    <w:rsid w:val="00AE63E3"/>
    <w:rsid w:val="00AF6C1A"/>
    <w:rsid w:val="00B02629"/>
    <w:rsid w:val="00B121CE"/>
    <w:rsid w:val="00B13AF1"/>
    <w:rsid w:val="00B160C6"/>
    <w:rsid w:val="00B2604A"/>
    <w:rsid w:val="00B26257"/>
    <w:rsid w:val="00B3741E"/>
    <w:rsid w:val="00B6716C"/>
    <w:rsid w:val="00B71C31"/>
    <w:rsid w:val="00B75E1A"/>
    <w:rsid w:val="00B814F3"/>
    <w:rsid w:val="00B868A7"/>
    <w:rsid w:val="00B936AB"/>
    <w:rsid w:val="00BA1EC5"/>
    <w:rsid w:val="00BA2A53"/>
    <w:rsid w:val="00BA4597"/>
    <w:rsid w:val="00BC1401"/>
    <w:rsid w:val="00BD6588"/>
    <w:rsid w:val="00BE0588"/>
    <w:rsid w:val="00BE6CF0"/>
    <w:rsid w:val="00BF113F"/>
    <w:rsid w:val="00BF48E8"/>
    <w:rsid w:val="00BF72C3"/>
    <w:rsid w:val="00BF742F"/>
    <w:rsid w:val="00BF798D"/>
    <w:rsid w:val="00C10BCD"/>
    <w:rsid w:val="00C2416C"/>
    <w:rsid w:val="00C30C30"/>
    <w:rsid w:val="00C327FD"/>
    <w:rsid w:val="00C41C22"/>
    <w:rsid w:val="00C44444"/>
    <w:rsid w:val="00C44C5D"/>
    <w:rsid w:val="00C45C4C"/>
    <w:rsid w:val="00C52329"/>
    <w:rsid w:val="00C63525"/>
    <w:rsid w:val="00C84A10"/>
    <w:rsid w:val="00C8738E"/>
    <w:rsid w:val="00C876A7"/>
    <w:rsid w:val="00C9340E"/>
    <w:rsid w:val="00C94B53"/>
    <w:rsid w:val="00CA7B01"/>
    <w:rsid w:val="00CB0042"/>
    <w:rsid w:val="00CB5E54"/>
    <w:rsid w:val="00CC5B9C"/>
    <w:rsid w:val="00CD2E46"/>
    <w:rsid w:val="00CD6BDE"/>
    <w:rsid w:val="00CE4BBA"/>
    <w:rsid w:val="00CF0BAF"/>
    <w:rsid w:val="00CF4105"/>
    <w:rsid w:val="00CF7022"/>
    <w:rsid w:val="00D004F7"/>
    <w:rsid w:val="00D10C8B"/>
    <w:rsid w:val="00D209A8"/>
    <w:rsid w:val="00D25A90"/>
    <w:rsid w:val="00D55573"/>
    <w:rsid w:val="00D57E34"/>
    <w:rsid w:val="00D72A28"/>
    <w:rsid w:val="00D7727D"/>
    <w:rsid w:val="00D850B7"/>
    <w:rsid w:val="00D85C39"/>
    <w:rsid w:val="00D93AC0"/>
    <w:rsid w:val="00D969CC"/>
    <w:rsid w:val="00D97B9A"/>
    <w:rsid w:val="00DA1416"/>
    <w:rsid w:val="00DB0DCB"/>
    <w:rsid w:val="00DB6D59"/>
    <w:rsid w:val="00DB7A88"/>
    <w:rsid w:val="00DC3594"/>
    <w:rsid w:val="00DD439F"/>
    <w:rsid w:val="00DD5EFA"/>
    <w:rsid w:val="00DE6624"/>
    <w:rsid w:val="00E079D7"/>
    <w:rsid w:val="00E22EB9"/>
    <w:rsid w:val="00E246E0"/>
    <w:rsid w:val="00E25BA8"/>
    <w:rsid w:val="00E2628A"/>
    <w:rsid w:val="00E6352F"/>
    <w:rsid w:val="00E709BC"/>
    <w:rsid w:val="00E72D85"/>
    <w:rsid w:val="00E80BD0"/>
    <w:rsid w:val="00E847B9"/>
    <w:rsid w:val="00E86229"/>
    <w:rsid w:val="00E9392B"/>
    <w:rsid w:val="00EB76FE"/>
    <w:rsid w:val="00EE15C2"/>
    <w:rsid w:val="00EE73B9"/>
    <w:rsid w:val="00F023C1"/>
    <w:rsid w:val="00F061E2"/>
    <w:rsid w:val="00F15E6A"/>
    <w:rsid w:val="00F16991"/>
    <w:rsid w:val="00F17519"/>
    <w:rsid w:val="00F22504"/>
    <w:rsid w:val="00F271FA"/>
    <w:rsid w:val="00F345CC"/>
    <w:rsid w:val="00F52F71"/>
    <w:rsid w:val="00F54BED"/>
    <w:rsid w:val="00F6231C"/>
    <w:rsid w:val="00F65A6A"/>
    <w:rsid w:val="00F7054A"/>
    <w:rsid w:val="00F70A27"/>
    <w:rsid w:val="00F81A0F"/>
    <w:rsid w:val="00F8585E"/>
    <w:rsid w:val="00F85FAE"/>
    <w:rsid w:val="00F92CF2"/>
    <w:rsid w:val="00FB1E1F"/>
    <w:rsid w:val="00FB2495"/>
    <w:rsid w:val="00FC2850"/>
    <w:rsid w:val="00FC3223"/>
    <w:rsid w:val="00FE0334"/>
    <w:rsid w:val="00FE5091"/>
    <w:rsid w:val="0156053D"/>
    <w:rsid w:val="0317181B"/>
    <w:rsid w:val="033A29D1"/>
    <w:rsid w:val="068C52F9"/>
    <w:rsid w:val="08665DD8"/>
    <w:rsid w:val="086D38AC"/>
    <w:rsid w:val="0D72221C"/>
    <w:rsid w:val="0E9F6194"/>
    <w:rsid w:val="10EF5BC2"/>
    <w:rsid w:val="12203C6C"/>
    <w:rsid w:val="13BB1355"/>
    <w:rsid w:val="140C73FD"/>
    <w:rsid w:val="15C923C2"/>
    <w:rsid w:val="17BD9077"/>
    <w:rsid w:val="19872784"/>
    <w:rsid w:val="1B023946"/>
    <w:rsid w:val="1B6D6154"/>
    <w:rsid w:val="1BDED5B5"/>
    <w:rsid w:val="1CC57680"/>
    <w:rsid w:val="1DC45833"/>
    <w:rsid w:val="1E2C7D30"/>
    <w:rsid w:val="1EDE5BC3"/>
    <w:rsid w:val="1F1E66E3"/>
    <w:rsid w:val="1F9F0CFC"/>
    <w:rsid w:val="20CD282B"/>
    <w:rsid w:val="229422DF"/>
    <w:rsid w:val="22BB5DF3"/>
    <w:rsid w:val="24922AF7"/>
    <w:rsid w:val="25B4E0C0"/>
    <w:rsid w:val="273804EF"/>
    <w:rsid w:val="27EF3D36"/>
    <w:rsid w:val="27F7C75E"/>
    <w:rsid w:val="28B22B79"/>
    <w:rsid w:val="29D37FB4"/>
    <w:rsid w:val="2BD434DA"/>
    <w:rsid w:val="2D846472"/>
    <w:rsid w:val="2EB790FD"/>
    <w:rsid w:val="2F7BAE0B"/>
    <w:rsid w:val="2FDEA2E0"/>
    <w:rsid w:val="2FF47143"/>
    <w:rsid w:val="2FFF1395"/>
    <w:rsid w:val="31162EFF"/>
    <w:rsid w:val="31265915"/>
    <w:rsid w:val="32580979"/>
    <w:rsid w:val="3295565A"/>
    <w:rsid w:val="32E60CD2"/>
    <w:rsid w:val="33EF0DFD"/>
    <w:rsid w:val="35205332"/>
    <w:rsid w:val="357D0780"/>
    <w:rsid w:val="37A76313"/>
    <w:rsid w:val="37D85C24"/>
    <w:rsid w:val="37EC56A1"/>
    <w:rsid w:val="3AA41CC3"/>
    <w:rsid w:val="3B4743D9"/>
    <w:rsid w:val="3B7BF48C"/>
    <w:rsid w:val="3BB74C2D"/>
    <w:rsid w:val="3BBF3BAD"/>
    <w:rsid w:val="3C1952FB"/>
    <w:rsid w:val="3C9F2C3D"/>
    <w:rsid w:val="3CAC0238"/>
    <w:rsid w:val="3D774D2D"/>
    <w:rsid w:val="3D7F15EC"/>
    <w:rsid w:val="3E6D796B"/>
    <w:rsid w:val="3EBE3070"/>
    <w:rsid w:val="3F5D5F94"/>
    <w:rsid w:val="3FFFCBC0"/>
    <w:rsid w:val="46494DF0"/>
    <w:rsid w:val="46FF67E6"/>
    <w:rsid w:val="47F6966C"/>
    <w:rsid w:val="48346165"/>
    <w:rsid w:val="49643113"/>
    <w:rsid w:val="49A86A96"/>
    <w:rsid w:val="4A5675D6"/>
    <w:rsid w:val="4A5C68B0"/>
    <w:rsid w:val="4AB33317"/>
    <w:rsid w:val="4B125A1B"/>
    <w:rsid w:val="4BDDCBED"/>
    <w:rsid w:val="4BF3AB39"/>
    <w:rsid w:val="4EA56F92"/>
    <w:rsid w:val="4EF91DD5"/>
    <w:rsid w:val="4F605E43"/>
    <w:rsid w:val="4F8E775A"/>
    <w:rsid w:val="4FCBDEBA"/>
    <w:rsid w:val="504A5776"/>
    <w:rsid w:val="518C27E4"/>
    <w:rsid w:val="51B93EB2"/>
    <w:rsid w:val="51FD5485"/>
    <w:rsid w:val="521611AC"/>
    <w:rsid w:val="55431F1A"/>
    <w:rsid w:val="563644D5"/>
    <w:rsid w:val="56DDCF6E"/>
    <w:rsid w:val="56E55076"/>
    <w:rsid w:val="57FFFA78"/>
    <w:rsid w:val="5AD40C16"/>
    <w:rsid w:val="5AFF1A7E"/>
    <w:rsid w:val="5BF73BDD"/>
    <w:rsid w:val="5BFEAF49"/>
    <w:rsid w:val="5D6D87B2"/>
    <w:rsid w:val="5DEFBEEA"/>
    <w:rsid w:val="5EE5B3C2"/>
    <w:rsid w:val="5F7A371F"/>
    <w:rsid w:val="5F7D1606"/>
    <w:rsid w:val="5F7DA053"/>
    <w:rsid w:val="5F99139D"/>
    <w:rsid w:val="5FDE5EB3"/>
    <w:rsid w:val="5FEED353"/>
    <w:rsid w:val="5FFF0010"/>
    <w:rsid w:val="62C00A70"/>
    <w:rsid w:val="631C34A7"/>
    <w:rsid w:val="63584D21"/>
    <w:rsid w:val="637D2259"/>
    <w:rsid w:val="64147EDB"/>
    <w:rsid w:val="64DB1ED0"/>
    <w:rsid w:val="65892DE5"/>
    <w:rsid w:val="65CB1B6C"/>
    <w:rsid w:val="664735F9"/>
    <w:rsid w:val="67AB84EF"/>
    <w:rsid w:val="68634C20"/>
    <w:rsid w:val="69FE4A3E"/>
    <w:rsid w:val="6BD22372"/>
    <w:rsid w:val="6BDD591A"/>
    <w:rsid w:val="6C37B4E0"/>
    <w:rsid w:val="6C5A6C14"/>
    <w:rsid w:val="6D1F81E5"/>
    <w:rsid w:val="6DDE9510"/>
    <w:rsid w:val="6E7DA600"/>
    <w:rsid w:val="6E7EC2CC"/>
    <w:rsid w:val="6EDFE261"/>
    <w:rsid w:val="6F3F553E"/>
    <w:rsid w:val="6FD58F02"/>
    <w:rsid w:val="6FDA6098"/>
    <w:rsid w:val="6FFF8A19"/>
    <w:rsid w:val="707D2EA9"/>
    <w:rsid w:val="714B29F7"/>
    <w:rsid w:val="719F1A95"/>
    <w:rsid w:val="72DF0578"/>
    <w:rsid w:val="736FBF03"/>
    <w:rsid w:val="73AD3CFF"/>
    <w:rsid w:val="741B46F3"/>
    <w:rsid w:val="74DF822D"/>
    <w:rsid w:val="74FF5A1C"/>
    <w:rsid w:val="757793E5"/>
    <w:rsid w:val="75FD427C"/>
    <w:rsid w:val="768CD329"/>
    <w:rsid w:val="76DA1BB9"/>
    <w:rsid w:val="771F20D0"/>
    <w:rsid w:val="777FCB37"/>
    <w:rsid w:val="77FEAB8E"/>
    <w:rsid w:val="79CE4C66"/>
    <w:rsid w:val="7A364E1A"/>
    <w:rsid w:val="7A7F674E"/>
    <w:rsid w:val="7B006CAE"/>
    <w:rsid w:val="7B4A062B"/>
    <w:rsid w:val="7B7E3ED5"/>
    <w:rsid w:val="7B7F644E"/>
    <w:rsid w:val="7BCF2998"/>
    <w:rsid w:val="7BCF795F"/>
    <w:rsid w:val="7BEF61FC"/>
    <w:rsid w:val="7BFD3361"/>
    <w:rsid w:val="7CF7DF2F"/>
    <w:rsid w:val="7CFF893C"/>
    <w:rsid w:val="7CFFDC51"/>
    <w:rsid w:val="7D6F4021"/>
    <w:rsid w:val="7D7F8F8D"/>
    <w:rsid w:val="7D9579BA"/>
    <w:rsid w:val="7DBD7A3D"/>
    <w:rsid w:val="7DE5EECE"/>
    <w:rsid w:val="7DF56D64"/>
    <w:rsid w:val="7DFF3F93"/>
    <w:rsid w:val="7E7604E4"/>
    <w:rsid w:val="7EEF009F"/>
    <w:rsid w:val="7EF36F28"/>
    <w:rsid w:val="7F10DE16"/>
    <w:rsid w:val="7F15152B"/>
    <w:rsid w:val="7F6FD523"/>
    <w:rsid w:val="7F7F821C"/>
    <w:rsid w:val="7FBD7EFF"/>
    <w:rsid w:val="7FF1EB4F"/>
    <w:rsid w:val="7FF33345"/>
    <w:rsid w:val="7FF901B7"/>
    <w:rsid w:val="7FFB40BD"/>
    <w:rsid w:val="7FFBE9A8"/>
    <w:rsid w:val="7FFD2D76"/>
    <w:rsid w:val="7FFDC445"/>
    <w:rsid w:val="873F2367"/>
    <w:rsid w:val="8FB3D23B"/>
    <w:rsid w:val="93FF1CCF"/>
    <w:rsid w:val="9D49C29B"/>
    <w:rsid w:val="9EBE94ED"/>
    <w:rsid w:val="9FE7D534"/>
    <w:rsid w:val="9FFFFA2B"/>
    <w:rsid w:val="A77D5889"/>
    <w:rsid w:val="ADDF6EC3"/>
    <w:rsid w:val="AF6DAFAF"/>
    <w:rsid w:val="AFBF042D"/>
    <w:rsid w:val="AFBF6947"/>
    <w:rsid w:val="B277AAE0"/>
    <w:rsid w:val="B4CEE948"/>
    <w:rsid w:val="B67E20B7"/>
    <w:rsid w:val="B6A52808"/>
    <w:rsid w:val="B6ED9DD7"/>
    <w:rsid w:val="B7FF8A0C"/>
    <w:rsid w:val="BA7F5A30"/>
    <w:rsid w:val="BB5ED11B"/>
    <w:rsid w:val="BCA7F748"/>
    <w:rsid w:val="BCD7BC49"/>
    <w:rsid w:val="BDF1DDA3"/>
    <w:rsid w:val="BDF94534"/>
    <w:rsid w:val="BE6AB5D0"/>
    <w:rsid w:val="BF9DE430"/>
    <w:rsid w:val="BF9F406D"/>
    <w:rsid w:val="C60786C3"/>
    <w:rsid w:val="C63F3B64"/>
    <w:rsid w:val="CBBD37BE"/>
    <w:rsid w:val="CC5722DB"/>
    <w:rsid w:val="CFCFCBEE"/>
    <w:rsid w:val="CFD6D076"/>
    <w:rsid w:val="D0337D27"/>
    <w:rsid w:val="D79FE822"/>
    <w:rsid w:val="D7F8CA43"/>
    <w:rsid w:val="DA6A2DF8"/>
    <w:rsid w:val="DB73D048"/>
    <w:rsid w:val="DD1D4B84"/>
    <w:rsid w:val="DDDAFC98"/>
    <w:rsid w:val="DEF9A495"/>
    <w:rsid w:val="DF132242"/>
    <w:rsid w:val="DF370A42"/>
    <w:rsid w:val="DF3B27E7"/>
    <w:rsid w:val="DF7F43EE"/>
    <w:rsid w:val="DF7FF9C6"/>
    <w:rsid w:val="DFA70EBE"/>
    <w:rsid w:val="DFBEAD54"/>
    <w:rsid w:val="DFCE6822"/>
    <w:rsid w:val="DFF73B83"/>
    <w:rsid w:val="DFF8E476"/>
    <w:rsid w:val="E4DD5B39"/>
    <w:rsid w:val="E7B3D91B"/>
    <w:rsid w:val="E8F18634"/>
    <w:rsid w:val="E9FEA3C6"/>
    <w:rsid w:val="EB3E9082"/>
    <w:rsid w:val="EB733C7B"/>
    <w:rsid w:val="EB7F31D4"/>
    <w:rsid w:val="EB7FDFC6"/>
    <w:rsid w:val="EDBF0D00"/>
    <w:rsid w:val="EDF6B6BA"/>
    <w:rsid w:val="EE696304"/>
    <w:rsid w:val="EF7E9FE6"/>
    <w:rsid w:val="EFBF07ED"/>
    <w:rsid w:val="EFC66D91"/>
    <w:rsid w:val="F2771F60"/>
    <w:rsid w:val="F3CBFD04"/>
    <w:rsid w:val="F3D93B14"/>
    <w:rsid w:val="F3F54342"/>
    <w:rsid w:val="F3FD00C7"/>
    <w:rsid w:val="F4FF70E7"/>
    <w:rsid w:val="F57642FF"/>
    <w:rsid w:val="F62B70AF"/>
    <w:rsid w:val="F6EE79A7"/>
    <w:rsid w:val="F6F58A1A"/>
    <w:rsid w:val="F74F7FB6"/>
    <w:rsid w:val="F7F56228"/>
    <w:rsid w:val="F9FBA59C"/>
    <w:rsid w:val="FAFE9FB8"/>
    <w:rsid w:val="FB5E55C9"/>
    <w:rsid w:val="FB7FAF74"/>
    <w:rsid w:val="FBB750FE"/>
    <w:rsid w:val="FBF39B1C"/>
    <w:rsid w:val="FBFD3B5F"/>
    <w:rsid w:val="FBFF104E"/>
    <w:rsid w:val="FCCDC4F9"/>
    <w:rsid w:val="FD3F3EF0"/>
    <w:rsid w:val="FD9FC62E"/>
    <w:rsid w:val="FDBFCB92"/>
    <w:rsid w:val="FDDFFA15"/>
    <w:rsid w:val="FDF6B22B"/>
    <w:rsid w:val="FDF6B714"/>
    <w:rsid w:val="FDF73BC7"/>
    <w:rsid w:val="FDFFF8E1"/>
    <w:rsid w:val="FE7D67C2"/>
    <w:rsid w:val="FEBD4C18"/>
    <w:rsid w:val="FF53BC26"/>
    <w:rsid w:val="FF581ABE"/>
    <w:rsid w:val="FF6B2C5B"/>
    <w:rsid w:val="FFAFF422"/>
    <w:rsid w:val="FFBFED57"/>
    <w:rsid w:val="FFCF265A"/>
    <w:rsid w:val="FFCFD750"/>
    <w:rsid w:val="FFD5E5C2"/>
    <w:rsid w:val="FFDFFD0B"/>
    <w:rsid w:val="FFE708F9"/>
    <w:rsid w:val="FFEF90B3"/>
    <w:rsid w:val="FFFD82C6"/>
    <w:rsid w:val="FFFDAD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376092"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37609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37609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376092"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376092" w:themeColor="accent1" w:themeShade="BF"/>
      <w:sz w:val="24"/>
      <w:szCs w:val="24"/>
    </w:rPr>
  </w:style>
  <w:style w:type="paragraph" w:styleId="7">
    <w:name w:val="heading 6"/>
    <w:basedOn w:val="1"/>
    <w:next w:val="1"/>
    <w:link w:val="22"/>
    <w:semiHidden/>
    <w:unhideWhenUsed/>
    <w:qFormat/>
    <w:uiPriority w:val="9"/>
    <w:pPr>
      <w:keepNext/>
      <w:keepLines/>
      <w:spacing w:before="40"/>
      <w:outlineLvl w:val="5"/>
    </w:pPr>
    <w:rPr>
      <w:rFonts w:cstheme="majorBidi"/>
      <w:b/>
      <w:bCs/>
      <w:color w:val="376092" w:themeColor="accent1" w:themeShade="BF"/>
    </w:rPr>
  </w:style>
  <w:style w:type="paragraph" w:styleId="8">
    <w:name w:val="heading 7"/>
    <w:basedOn w:val="1"/>
    <w:next w:val="1"/>
    <w:link w:val="2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jc w:val="left"/>
    </w:pPr>
    <w:rPr>
      <w:sz w:val="18"/>
      <w:szCs w:val="18"/>
    </w:rPr>
  </w:style>
  <w:style w:type="paragraph" w:styleId="12">
    <w:name w:val="header"/>
    <w:basedOn w:val="1"/>
    <w:link w:val="35"/>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376092"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376092"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376092" w:themeColor="accent1" w:themeShade="BF"/>
      <w:sz w:val="32"/>
      <w:szCs w:val="32"/>
    </w:rPr>
  </w:style>
  <w:style w:type="character" w:customStyle="1" w:styleId="20">
    <w:name w:val="标题 4 字符"/>
    <w:basedOn w:val="16"/>
    <w:link w:val="5"/>
    <w:semiHidden/>
    <w:qFormat/>
    <w:uiPriority w:val="9"/>
    <w:rPr>
      <w:rFonts w:cstheme="majorBidi"/>
      <w:color w:val="376092" w:themeColor="accent1" w:themeShade="BF"/>
      <w:sz w:val="28"/>
      <w:szCs w:val="28"/>
    </w:rPr>
  </w:style>
  <w:style w:type="character" w:customStyle="1" w:styleId="21">
    <w:name w:val="标题 5 字符"/>
    <w:basedOn w:val="16"/>
    <w:link w:val="6"/>
    <w:semiHidden/>
    <w:qFormat/>
    <w:uiPriority w:val="9"/>
    <w:rPr>
      <w:rFonts w:cstheme="majorBidi"/>
      <w:color w:val="376092" w:themeColor="accent1" w:themeShade="BF"/>
      <w:sz w:val="24"/>
      <w:szCs w:val="24"/>
    </w:rPr>
  </w:style>
  <w:style w:type="character" w:customStyle="1" w:styleId="22">
    <w:name w:val="标题 6 字符"/>
    <w:basedOn w:val="16"/>
    <w:link w:val="7"/>
    <w:semiHidden/>
    <w:qFormat/>
    <w:uiPriority w:val="9"/>
    <w:rPr>
      <w:rFonts w:cstheme="majorBidi"/>
      <w:b/>
      <w:bCs/>
      <w:color w:val="376092"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明显强调1"/>
    <w:basedOn w:val="16"/>
    <w:qFormat/>
    <w:uiPriority w:val="21"/>
    <w:rPr>
      <w:i/>
      <w:iCs/>
      <w:color w:val="376092" w:themeColor="accent1" w:themeShade="BF"/>
    </w:rPr>
  </w:style>
  <w:style w:type="paragraph" w:styleId="32">
    <w:name w:val="Intense Quote"/>
    <w:basedOn w:val="1"/>
    <w:next w:val="1"/>
    <w:link w:val="33"/>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33">
    <w:name w:val="明显引用 字符"/>
    <w:basedOn w:val="16"/>
    <w:link w:val="32"/>
    <w:qFormat/>
    <w:uiPriority w:val="30"/>
    <w:rPr>
      <w:i/>
      <w:iCs/>
      <w:color w:val="376092" w:themeColor="accent1" w:themeShade="BF"/>
    </w:rPr>
  </w:style>
  <w:style w:type="character" w:customStyle="1" w:styleId="34">
    <w:name w:val="明显参考1"/>
    <w:basedOn w:val="16"/>
    <w:qFormat/>
    <w:uiPriority w:val="32"/>
    <w:rPr>
      <w:b/>
      <w:bCs/>
      <w:smallCaps/>
      <w:color w:val="376092" w:themeColor="accent1" w:themeShade="BF"/>
      <w:spacing w:val="5"/>
    </w:rPr>
  </w:style>
  <w:style w:type="character" w:customStyle="1" w:styleId="35">
    <w:name w:val="页眉 字符"/>
    <w:basedOn w:val="16"/>
    <w:link w:val="12"/>
    <w:qFormat/>
    <w:uiPriority w:val="99"/>
    <w:rPr>
      <w:sz w:val="18"/>
      <w:szCs w:val="18"/>
    </w:rPr>
  </w:style>
  <w:style w:type="character" w:customStyle="1" w:styleId="36">
    <w:name w:val="页脚 字符"/>
    <w:basedOn w:val="16"/>
    <w:link w:val="11"/>
    <w:qFormat/>
    <w:uiPriority w:val="99"/>
    <w:rPr>
      <w:sz w:val="18"/>
      <w:szCs w:val="18"/>
    </w:rPr>
  </w:style>
  <w:style w:type="paragraph" w:customStyle="1" w:styleId="37">
    <w:name w:val="Char Char Char Char"/>
    <w:basedOn w:val="1"/>
    <w:qFormat/>
    <w:uiPriority w:val="0"/>
    <w:rPr>
      <w:rFonts w:ascii="Times New Roman" w:hAnsi="Times New Roman" w:eastAsia="仿宋_GB2312" w:cs="Times New Roman"/>
      <w:sz w:val="32"/>
      <w:szCs w:val="20"/>
    </w:rPr>
  </w:style>
  <w:style w:type="paragraph" w:customStyle="1" w:styleId="38">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986</Words>
  <Characters>5624</Characters>
  <Lines>46</Lines>
  <Paragraphs>13</Paragraphs>
  <TotalTime>4</TotalTime>
  <ScaleCrop>false</ScaleCrop>
  <LinksUpToDate>false</LinksUpToDate>
  <CharactersWithSpaces>6597</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2025-05-31T09:32:00Z</dcterms:created>
  <dc:creator>亚 俞</dc:creator>
  <cp:lastModifiedBy>user</cp:lastModifiedBy>
  <cp:lastPrinted>2026-08-23T07:09:00Z</cp:lastPrinted>
  <dcterms:modified xsi:type="dcterms:W3CDTF">2026-10-10T18:16:01Z</dcterms:modified>
  <cp:revision>269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C726261AC20244A488B190789DC816B9</vt:lpwstr>
  </property>
</Properties>
</file>