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ind w:firstLine="0" w:firstLineChars="0"/>
        <w:jc w:val="left"/>
        <w:rPr>
          <w:rFonts w:hint="eastAsia" w:ascii="方正仿宋_GBK" w:hAnsi="方正仿宋_GBK" w:eastAsia="方正仿宋_GBK" w:cs="方正仿宋_GBK"/>
          <w:color w:val="000000" w:themeColor="text1"/>
          <w:sz w:val="32"/>
          <w:szCs w:val="32"/>
          <w:highlight w:val="none"/>
          <w:lang w:val="en-US" w:eastAsia="zh-CN"/>
        </w:rPr>
      </w:pPr>
      <w:r>
        <w:rPr>
          <w:rFonts w:hint="eastAsia" w:ascii="方正仿宋_GBK" w:hAnsi="方正仿宋_GBK" w:eastAsia="方正仿宋_GBK" w:cs="方正仿宋_GBK"/>
          <w:color w:val="000000" w:themeColor="text1"/>
          <w:sz w:val="32"/>
          <w:szCs w:val="32"/>
          <w:highlight w:val="none"/>
          <w:lang w:eastAsia="zh-CN"/>
        </w:rPr>
        <w:t>附件</w:t>
      </w:r>
      <w:r>
        <w:rPr>
          <w:rFonts w:hint="eastAsia" w:ascii="方正仿宋_GBK" w:hAnsi="方正仿宋_GBK" w:eastAsia="方正仿宋_GBK" w:cs="方正仿宋_GBK"/>
          <w:color w:val="000000" w:themeColor="text1"/>
          <w:sz w:val="32"/>
          <w:szCs w:val="32"/>
          <w:highlight w:val="none"/>
          <w:lang w:val="en-US" w:eastAsia="zh-CN"/>
        </w:rPr>
        <w:t>1</w:t>
      </w:r>
    </w:p>
    <w:p>
      <w:pPr>
        <w:spacing w:line="570" w:lineRule="exact"/>
        <w:jc w:val="center"/>
        <w:rPr>
          <w:rFonts w:hint="eastAsia" w:ascii="方正小标宋_GBK" w:hAnsi="方正小标宋_GBK" w:eastAsia="方正小标宋_GBK" w:cs="方正小标宋_GBK"/>
          <w:color w:val="000000" w:themeColor="text1"/>
          <w:sz w:val="44"/>
          <w:szCs w:val="44"/>
          <w:highlight w:val="none"/>
        </w:rPr>
      </w:pPr>
    </w:p>
    <w:p>
      <w:pPr>
        <w:spacing w:line="570" w:lineRule="exact"/>
        <w:jc w:val="center"/>
        <w:rPr>
          <w:rFonts w:hint="eastAsia" w:ascii="方正小标宋_GBK" w:hAnsi="方正小标宋_GBK" w:eastAsia="方正小标宋_GBK" w:cs="方正小标宋_GBK"/>
          <w:color w:val="000000" w:themeColor="text1"/>
          <w:sz w:val="44"/>
          <w:szCs w:val="44"/>
          <w:highlight w:val="none"/>
        </w:rPr>
      </w:pPr>
      <w:bookmarkStart w:id="0" w:name="_GoBack"/>
      <w:bookmarkEnd w:id="0"/>
      <w:r>
        <w:rPr>
          <w:rFonts w:hint="eastAsia" w:ascii="方正小标宋_GBK" w:hAnsi="方正小标宋_GBK" w:eastAsia="方正小标宋_GBK" w:cs="方正小标宋_GBK"/>
          <w:color w:val="000000" w:themeColor="text1"/>
          <w:sz w:val="44"/>
          <w:szCs w:val="44"/>
          <w:highlight w:val="none"/>
        </w:rPr>
        <w:t>云南省继续医学教育管理实施办法（试行）</w:t>
      </w:r>
    </w:p>
    <w:p>
      <w:pPr>
        <w:spacing w:line="570" w:lineRule="exact"/>
        <w:jc w:val="center"/>
        <w:rPr>
          <w:rFonts w:hint="eastAsia" w:ascii="方正楷体_GBK" w:hAnsi="方正楷体_GBK" w:eastAsia="方正楷体_GBK" w:cs="方正楷体_GBK"/>
          <w:color w:val="000000" w:themeColor="text1"/>
          <w:sz w:val="32"/>
          <w:szCs w:val="32"/>
          <w:highlight w:val="none"/>
        </w:rPr>
      </w:pPr>
      <w:r>
        <w:rPr>
          <w:rFonts w:hint="eastAsia" w:ascii="方正楷体_GBK" w:hAnsi="方正楷体_GBK" w:eastAsia="方正楷体_GBK" w:cs="方正楷体_GBK"/>
          <w:color w:val="000000" w:themeColor="text1"/>
          <w:sz w:val="32"/>
          <w:szCs w:val="32"/>
          <w:highlight w:val="none"/>
        </w:rPr>
        <w:t>（</w:t>
      </w:r>
      <w:r>
        <w:rPr>
          <w:rFonts w:hint="eastAsia" w:ascii="方正楷体_GBK" w:hAnsi="方正楷体_GBK" w:eastAsia="方正楷体_GBK" w:cs="方正楷体_GBK"/>
          <w:color w:val="000000" w:themeColor="text1"/>
          <w:sz w:val="32"/>
          <w:szCs w:val="32"/>
          <w:highlight w:val="none"/>
          <w:lang w:eastAsia="zh-CN"/>
        </w:rPr>
        <w:t>征求意见</w:t>
      </w:r>
      <w:r>
        <w:rPr>
          <w:rFonts w:hint="eastAsia" w:ascii="方正楷体_GBK" w:hAnsi="方正楷体_GBK" w:eastAsia="方正楷体_GBK" w:cs="方正楷体_GBK"/>
          <w:color w:val="000000" w:themeColor="text1"/>
          <w:sz w:val="32"/>
          <w:szCs w:val="32"/>
          <w:highlight w:val="none"/>
        </w:rPr>
        <w:t>稿）</w:t>
      </w:r>
    </w:p>
    <w:p>
      <w:pPr>
        <w:spacing w:line="570" w:lineRule="exact"/>
        <w:rPr>
          <w:rFonts w:hint="eastAsia" w:ascii="方正仿宋_GBK" w:hAnsi="方正仿宋_GBK" w:eastAsia="方正仿宋_GBK" w:cs="方正仿宋_GBK"/>
          <w:color w:val="000000" w:themeColor="text1"/>
          <w:sz w:val="32"/>
          <w:szCs w:val="32"/>
          <w:highlight w:val="none"/>
        </w:rPr>
      </w:pPr>
    </w:p>
    <w:p>
      <w:pPr>
        <w:spacing w:line="570" w:lineRule="exact"/>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第一章　总　则</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第一条 </w:t>
      </w:r>
      <w:r>
        <w:rPr>
          <w:rFonts w:hint="eastAsia" w:ascii="方正仿宋_GBK" w:hAnsi="方正仿宋_GBK" w:eastAsia="方正仿宋_GBK" w:cs="方正仿宋_GBK"/>
          <w:color w:val="000000" w:themeColor="text1"/>
          <w:sz w:val="32"/>
          <w:szCs w:val="32"/>
          <w:highlight w:val="none"/>
        </w:rPr>
        <w:t>为适应卫生健康事业改革发展需要，持续规范继续医学教育活动，根据《专业技术人员继续教育规定》《继续医学教育管理规定（试行）》等法律规章，结合我省实际，制定本实施办法。</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第二条</w:t>
      </w:r>
      <w:r>
        <w:rPr>
          <w:rFonts w:hint="eastAsia" w:ascii="方正仿宋_GBK" w:hAnsi="方正仿宋_GBK" w:eastAsia="方正仿宋_GBK" w:cs="方正仿宋_GBK"/>
          <w:color w:val="000000" w:themeColor="text1"/>
          <w:sz w:val="32"/>
          <w:szCs w:val="32"/>
          <w:highlight w:val="none"/>
        </w:rPr>
        <w:t xml:space="preserve"> 继续医学教育目的是促使卫生技术人员在整个职业生涯中保持高尚的职业道德和医学人文素养，持续提升专业工作能力和业务水平，更好适应医学科技创新和卫生健康事业高质量发展要求，为全面推进健康云南建设提供有力保障。</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第三条 </w:t>
      </w:r>
      <w:r>
        <w:rPr>
          <w:rFonts w:hint="eastAsia" w:ascii="方正仿宋_GBK" w:hAnsi="方正仿宋_GBK" w:eastAsia="方正仿宋_GBK" w:cs="方正仿宋_GBK"/>
          <w:color w:val="000000" w:themeColor="text1"/>
          <w:sz w:val="32"/>
          <w:szCs w:val="32"/>
          <w:highlight w:val="none"/>
        </w:rPr>
        <w:t>继续医学教育工作坚持理论联系实际、按需施教、讲求实效、培养与使用相结合、中西医结合、医防融合的原则，以能力建设为核心，突出针对性、实用性和前瞻性，优先保障基层和民族边境地区的卫生专业技术人员接受继续医学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第四条</w:t>
      </w:r>
      <w:r>
        <w:rPr>
          <w:rFonts w:hint="eastAsia" w:ascii="方正仿宋_GBK" w:hAnsi="方正仿宋_GBK" w:eastAsia="方正仿宋_GBK" w:cs="方正仿宋_GBK"/>
          <w:color w:val="000000" w:themeColor="text1"/>
          <w:sz w:val="32"/>
          <w:szCs w:val="32"/>
          <w:highlight w:val="none"/>
        </w:rPr>
        <w:t xml:space="preserve"> 继续医学教育的对象是指从事专业技术工作的各级各类在职卫生专业技术人员，包括执业（助理）医师、注册护士、药师（士）、技师（士）、乡村医生等。</w:t>
      </w:r>
    </w:p>
    <w:p>
      <w:pPr>
        <w:spacing w:line="570" w:lineRule="exact"/>
        <w:ind w:firstLine="640" w:firstLineChars="200"/>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第二章</w:t>
      </w:r>
      <w:r>
        <w:rPr>
          <w:rFonts w:hint="eastAsia" w:ascii="方正黑体_GBK" w:hAnsi="方正黑体_GBK" w:eastAsia="方正黑体_GBK" w:cs="方正黑体_GBK"/>
          <w:color w:val="000000" w:themeColor="text1"/>
          <w:sz w:val="32"/>
          <w:szCs w:val="32"/>
          <w:highlight w:val="none"/>
          <w:lang w:val="en-US" w:eastAsia="zh-CN"/>
        </w:rPr>
        <w:t xml:space="preserve">  </w:t>
      </w:r>
      <w:r>
        <w:rPr>
          <w:rFonts w:hint="eastAsia" w:ascii="方正黑体_GBK" w:hAnsi="方正黑体_GBK" w:eastAsia="方正黑体_GBK" w:cs="方正黑体_GBK"/>
          <w:color w:val="000000" w:themeColor="text1"/>
          <w:sz w:val="32"/>
          <w:szCs w:val="32"/>
          <w:highlight w:val="none"/>
        </w:rPr>
        <w:t>组织管理</w:t>
      </w:r>
    </w:p>
    <w:p>
      <w:pPr>
        <w:spacing w:line="570" w:lineRule="exact"/>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 xml:space="preserve">    </w:t>
      </w:r>
      <w:r>
        <w:rPr>
          <w:rFonts w:hint="eastAsia" w:ascii="方正黑体_GBK" w:hAnsi="方正黑体_GBK" w:eastAsia="方正黑体_GBK" w:cs="方正黑体_GBK"/>
          <w:color w:val="000000" w:themeColor="text1"/>
          <w:sz w:val="32"/>
          <w:szCs w:val="32"/>
          <w:highlight w:val="none"/>
        </w:rPr>
        <w:t xml:space="preserve">第五条 </w:t>
      </w:r>
      <w:r>
        <w:rPr>
          <w:rFonts w:hint="eastAsia" w:ascii="方正仿宋_GBK" w:hAnsi="方正仿宋_GBK" w:eastAsia="方正仿宋_GBK" w:cs="方正仿宋_GBK"/>
          <w:color w:val="000000" w:themeColor="text1"/>
          <w:sz w:val="32"/>
          <w:szCs w:val="32"/>
          <w:highlight w:val="none"/>
        </w:rPr>
        <w:t>继续医学教育工作实行统筹规划、分级负责、分类指导的管理体制。卫生健康行政部门应</w:t>
      </w:r>
      <w:r>
        <w:rPr>
          <w:rFonts w:hint="eastAsia" w:ascii="方正仿宋_GBK" w:hAnsi="方正仿宋_GBK" w:eastAsia="方正仿宋_GBK" w:cs="方正仿宋_GBK"/>
          <w:color w:val="000000" w:themeColor="text1"/>
          <w:sz w:val="32"/>
          <w:szCs w:val="32"/>
          <w:highlight w:val="none"/>
          <w:lang w:eastAsia="zh-CN"/>
        </w:rPr>
        <w:t>当</w:t>
      </w:r>
      <w:r>
        <w:rPr>
          <w:rFonts w:hint="eastAsia" w:ascii="方正仿宋_GBK" w:hAnsi="方正仿宋_GBK" w:eastAsia="方正仿宋_GBK" w:cs="方正仿宋_GBK"/>
          <w:color w:val="000000" w:themeColor="text1"/>
          <w:sz w:val="32"/>
          <w:szCs w:val="32"/>
          <w:highlight w:val="none"/>
        </w:rPr>
        <w:t>按照继续教育总体要求，充分利用卫生和医学教育资源，加强继续医学教育工作的组织领导和监督管理。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第六条</w:t>
      </w:r>
      <w:r>
        <w:rPr>
          <w:rFonts w:hint="eastAsia" w:ascii="方正仿宋_GBK" w:hAnsi="方正仿宋_GBK" w:eastAsia="方正仿宋_GBK" w:cs="方正仿宋_GBK"/>
          <w:color w:val="000000" w:themeColor="text1"/>
          <w:sz w:val="32"/>
          <w:szCs w:val="32"/>
          <w:highlight w:val="none"/>
        </w:rPr>
        <w:t xml:space="preserve"> 省级卫生健康行政部门负责全省继续医学教育工作的组织实施和监督管理，按照国家规定制定相关政策及标准并指导实施。省卫生健康委、省疾病预防控制局有关业务处室依责履行继续医学教育工作管理职能，组织开展政策研究、指导评估和学分审验等工作，组织开展对外交流协作。</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第七条 </w:t>
      </w:r>
      <w:r>
        <w:rPr>
          <w:rFonts w:hint="eastAsia" w:ascii="方正仿宋_GBK" w:hAnsi="方正仿宋_GBK" w:eastAsia="方正仿宋_GBK" w:cs="方正仿宋_GBK"/>
          <w:color w:val="000000" w:themeColor="text1"/>
          <w:sz w:val="32"/>
          <w:szCs w:val="32"/>
          <w:highlight w:val="none"/>
        </w:rPr>
        <w:t>继续医学教育工作实行省、州（市）、县（市、区）三级管理体制。除省级医疗卫生单位由省卫生健康行政部门管理外，驻州（市）、县（市、区）企业等所属医疗卫生单位实行属地管理。州（市）、县（市、区）卫生健康行政部门负责做好区域内卫生技术人员继续医学教育的组织、考核、登记、审核等工作。</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第八条</w:t>
      </w:r>
      <w:r>
        <w:rPr>
          <w:rFonts w:hint="eastAsia" w:ascii="方正仿宋_GBK" w:hAnsi="方正仿宋_GBK" w:eastAsia="方正仿宋_GBK" w:cs="方正仿宋_GBK"/>
          <w:color w:val="000000" w:themeColor="text1"/>
          <w:sz w:val="32"/>
          <w:szCs w:val="32"/>
          <w:highlight w:val="none"/>
        </w:rPr>
        <w:t xml:space="preserve"> 卫生健康行政部门应当有计划地组织协调县级及以上医疗卫生机构对乡镇卫生院、社区卫生服务中心（站）、村卫生室等基层医疗卫生机构中的卫生专业技术人员开展培训，提高其医学专业技术能力和水平。</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第九条 </w:t>
      </w:r>
      <w:r>
        <w:rPr>
          <w:rFonts w:hint="eastAsia" w:ascii="方正仿宋_GBK" w:hAnsi="方正仿宋_GBK" w:eastAsia="方正仿宋_GBK" w:cs="方正仿宋_GBK"/>
          <w:color w:val="000000" w:themeColor="text1"/>
          <w:sz w:val="32"/>
          <w:szCs w:val="32"/>
          <w:highlight w:val="none"/>
        </w:rPr>
        <w:t>用人单位应当鼓励、支持卫生专业技术人员参加继续医学教育活动，保障其依法参加继续医教育的权利。建立继续医学教育登记管理制度，全面记录本单位卫生专业技术人员参加继续医学教育活动的种类、内容、时间、考试考核结果、获得学分等情况，作为考核评估的重要依据。</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第十条 </w:t>
      </w:r>
      <w:r>
        <w:rPr>
          <w:rFonts w:hint="eastAsia" w:ascii="方正仿宋_GBK" w:hAnsi="方正仿宋_GBK" w:eastAsia="方正仿宋_GBK" w:cs="方正仿宋_GBK"/>
          <w:color w:val="000000" w:themeColor="text1"/>
          <w:sz w:val="32"/>
          <w:szCs w:val="32"/>
          <w:highlight w:val="none"/>
        </w:rPr>
        <w:t>鼓励医学院校及高校、医疗卫生机构、科研机构和有关行业组织依法依规开展继续医学教育活动，充分发挥其在科研、咨询和服务等方面的作用。</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第十一条 </w:t>
      </w:r>
      <w:r>
        <w:rPr>
          <w:rFonts w:hint="eastAsia" w:ascii="方正仿宋_GBK" w:hAnsi="方正仿宋_GBK" w:eastAsia="方正仿宋_GBK" w:cs="方正仿宋_GBK"/>
          <w:color w:val="000000" w:themeColor="text1"/>
          <w:sz w:val="32"/>
          <w:szCs w:val="32"/>
          <w:highlight w:val="none"/>
        </w:rPr>
        <w:t>继续医学教育活动主办单位应具备相适应的场所、设施和师资等教学条件，建立健全相应的组织管理制度并做好活动信息登记。认真制定实施教育培训计划，按规定向社会公开教育培训的范围、内容、收费项目及标准等情况，对所开展活动负主体责任。</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第十二条 </w:t>
      </w:r>
      <w:r>
        <w:rPr>
          <w:rFonts w:hint="eastAsia" w:ascii="方正仿宋_GBK" w:hAnsi="方正仿宋_GBK" w:eastAsia="方正仿宋_GBK" w:cs="方正仿宋_GBK"/>
          <w:color w:val="000000" w:themeColor="text1"/>
          <w:sz w:val="32"/>
          <w:szCs w:val="32"/>
          <w:highlight w:val="none"/>
        </w:rPr>
        <w:t>卫生专业技术人员应当积极参加与本人专业和工作岗位相关的继续医学教育活动，服从所在单位的安排并接受管理。经用人单位同意，脱产或半脱产参加继续医学教育活动的，用人单位应当按照国家有关规定或者与劳动者的约定，支付工资、福利等相应待遇。</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第十三条</w:t>
      </w:r>
      <w:r>
        <w:rPr>
          <w:rFonts w:hint="eastAsia" w:ascii="方正仿宋_GBK" w:hAnsi="方正仿宋_GBK" w:eastAsia="方正仿宋_GBK" w:cs="方正仿宋_GBK"/>
          <w:color w:val="000000" w:themeColor="text1"/>
          <w:sz w:val="32"/>
          <w:szCs w:val="32"/>
          <w:highlight w:val="none"/>
        </w:rPr>
        <w:t xml:space="preserve"> 卫生健康行政部门可根据工作实际需要，依托医疗卫生机构、高等医学院校、科研机构以及具备条件的其他机构，建设继续医学教育基地，健全和完善继续医学教育网络。</w:t>
      </w:r>
    </w:p>
    <w:p>
      <w:pPr>
        <w:spacing w:line="570" w:lineRule="exact"/>
        <w:ind w:firstLine="0" w:firstLineChars="0"/>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第三章 继续医学内容</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第十四条 </w:t>
      </w:r>
      <w:r>
        <w:rPr>
          <w:rFonts w:hint="eastAsia" w:ascii="方正仿宋_GBK" w:hAnsi="方正仿宋_GBK" w:eastAsia="方正仿宋_GBK" w:cs="方正仿宋_GBK"/>
          <w:color w:val="000000" w:themeColor="text1"/>
          <w:sz w:val="32"/>
          <w:szCs w:val="32"/>
          <w:highlight w:val="none"/>
        </w:rPr>
        <w:t>继续医学教育内容包括公需科目和专业科目。</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公需科目包括专业技术人员应普遍掌握的法律法规、理论政策、职业道德等基本知识，以及卫生专业技术人员应重点强化的医德医风、医学伦理、医学人文等职业素养教育，基本医疗卫生制度、从业行为规范等政策法规教育，公共卫生干预、突发公共卫生事件应急处理、健康教育等公共卫生知识与技能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专业科目包括卫生专业技术人员从事专业工作应当掌握的专业知识、实践技能，以及医学科技创新等前沿知识。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第十五条 </w:t>
      </w:r>
      <w:r>
        <w:rPr>
          <w:rFonts w:hint="eastAsia" w:ascii="方正仿宋_GBK" w:hAnsi="方正仿宋_GBK" w:eastAsia="方正仿宋_GBK" w:cs="方正仿宋_GBK"/>
          <w:color w:val="000000" w:themeColor="text1"/>
          <w:sz w:val="32"/>
          <w:szCs w:val="32"/>
          <w:highlight w:val="none"/>
        </w:rPr>
        <w:t>卫生专业技术人员应根据本人实际情况和工作需要，接受分级分类的继续医学教育。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初级职称卫生专业技术人员以巩固基础理论、基础知识、基本技能为重点，注重夯实从事医疗卫生工作的基础。</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中级职称卫生专业技术人员以更新拓展知识内容和知识结构为重点，注重提高本专业思维能力和技术水平。</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高级职称卫生专业技术人员以本专业学科前沿知识更新和提升创新能力为重点，注重发挥教学师资优势,强化新理论、新知识、新技术、新方法的运用。</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乡村医生以全科知识和技能为重点，强化对适宜技术的学习，不断提高服务能力。</w:t>
      </w:r>
    </w:p>
    <w:p>
      <w:pPr>
        <w:spacing w:line="570" w:lineRule="exact"/>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第四章  学分授予</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第十六条 </w:t>
      </w:r>
      <w:r>
        <w:rPr>
          <w:rFonts w:hint="eastAsia" w:ascii="方正仿宋_GBK" w:hAnsi="方正仿宋_GBK" w:eastAsia="方正仿宋_GBK" w:cs="方正仿宋_GBK"/>
          <w:color w:val="000000" w:themeColor="text1"/>
          <w:sz w:val="32"/>
          <w:szCs w:val="32"/>
          <w:highlight w:val="none"/>
        </w:rPr>
        <w:t>继续医学教育实行学分制。卫生专业技术人员每年应参加与本专业相关的继续医学教育活动并取得规定的学分数，县级及以上机构人员所获学分不低于25学分（不少于90学时），其中专业科目不少于总学时的三分之二；乡镇卫生院、社区卫生服务中心人员所获学分不低于15分，村卫生室、社区卫生服务站人员所获学分不低于10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第十七条 </w:t>
      </w:r>
      <w:r>
        <w:rPr>
          <w:rFonts w:hint="eastAsia" w:ascii="方正仿宋_GBK" w:hAnsi="方正仿宋_GBK" w:eastAsia="方正仿宋_GBK" w:cs="方正仿宋_GBK"/>
          <w:color w:val="000000" w:themeColor="text1"/>
          <w:sz w:val="32"/>
          <w:szCs w:val="32"/>
          <w:highlight w:val="none"/>
        </w:rPr>
        <w:t>卫生专业技术人员参加以下继续医学教育活动，可获得相应学分：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（一）继续医学教育项目，包括继续医学教育推荐项目和推广项目，可以是面授（线下学习，或线上线下相结合的学习）和远程（在线学习）等学习形式；</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（二）进修学习；</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（三）符合《中医药专业技术人员师承教育管理办法》规定的师承教育；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（四）在职学历（学位）教育；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（五）毕业后医学教育；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（六）政府指令性医疗卫生任务；</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（七）有组织的继续医学教育实践活动、有计划的自学；</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（八）符合规定的其他方式。</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第十八条 </w:t>
      </w:r>
      <w:r>
        <w:rPr>
          <w:rFonts w:hint="eastAsia" w:ascii="方正仿宋_GBK" w:hAnsi="方正仿宋_GBK" w:eastAsia="方正仿宋_GBK" w:cs="方正仿宋_GBK"/>
          <w:color w:val="000000" w:themeColor="text1"/>
          <w:sz w:val="32"/>
          <w:szCs w:val="32"/>
          <w:highlight w:val="none"/>
        </w:rPr>
        <w:t>继续医学教育活动根据内容、形式和效果授予相应学分，其中国家、省级卫生健康行政部门公布的继续医学教育项目按统一标准授予相应学分。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继续医学教育坚持理论联系实际、按需施教、讲求实效的原则，采用培训班、进修班、研修班、学术讲座、学术会议、业务考察、远程教育和有计划、有组织、有考核的自学等多种形式组织实施。为继续医学教育提供材料、学术报告，以及发表论文、出版专著、获得科研立项和科研成果等视为参加继续医学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卫生专业技术人员参加外语、计算机等非医学及相关类专业的公共知识的学习培训，不列为继续医学教育内容。</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第十九条 </w:t>
      </w:r>
      <w:r>
        <w:rPr>
          <w:rFonts w:hint="eastAsia" w:ascii="方正仿宋_GBK" w:hAnsi="方正仿宋_GBK" w:eastAsia="方正仿宋_GBK" w:cs="方正仿宋_GBK"/>
          <w:color w:val="000000" w:themeColor="text1"/>
          <w:sz w:val="32"/>
          <w:szCs w:val="32"/>
          <w:highlight w:val="none"/>
        </w:rPr>
        <w:t>继续医学教育项目分为评审项目和单位自管项目两类。国家、省、州市级卫生健康行政部门分别组织评审并公布国家级、省级和州市级继续医学教育项目，供卫生专业技术人员选择参加。自管项目由各单位按照有关规定制定并公布。</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鼓励医学院校及高校、医疗卫生单位、医疗科研机构和有关行业社会组织申办继续医学教育项目。</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第二十条</w:t>
      </w:r>
      <w:r>
        <w:rPr>
          <w:rFonts w:hint="eastAsia" w:ascii="方正仿宋_GBK" w:hAnsi="方正仿宋_GBK" w:eastAsia="方正仿宋_GBK" w:cs="方正仿宋_GBK"/>
          <w:color w:val="000000" w:themeColor="text1"/>
          <w:sz w:val="32"/>
          <w:szCs w:val="32"/>
          <w:highlight w:val="none"/>
        </w:rPr>
        <w:t xml:space="preserve"> 卫生健康行政部门自下而上遴选公布继续医学教育推荐项目。继续医学教育推荐项目应当立足卫生健康事业发展需要，强调先进性、前瞻性，注重紧缺专业、新兴和交叉学科，学习资源向重点领域、特殊区域和关键岗位倾斜。</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第二十一条</w:t>
      </w:r>
      <w:r>
        <w:rPr>
          <w:rFonts w:hint="eastAsia" w:ascii="方正仿宋_GBK" w:hAnsi="方正仿宋_GBK" w:eastAsia="方正仿宋_GBK" w:cs="方正仿宋_GBK"/>
          <w:color w:val="000000" w:themeColor="text1"/>
          <w:sz w:val="32"/>
          <w:szCs w:val="32"/>
          <w:highlight w:val="none"/>
        </w:rPr>
        <w:t xml:space="preserve"> 卫生健康行政部门自上而下设立继续医学教育推广项目。继续医学教育推广项目围绕健康中国建设、医药卫生体制改革、科技创新与成果转化等重大部署和年度重点工作任务，主要包括以基层为重点的专业技术培训，传染病防控、突发公共卫生事件应急处置及医学技术新进展等专项培训。</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第二十二条 </w:t>
      </w:r>
      <w:r>
        <w:rPr>
          <w:rFonts w:hint="eastAsia" w:ascii="方正仿宋_GBK" w:hAnsi="方正仿宋_GBK" w:eastAsia="方正仿宋_GBK" w:cs="方正仿宋_GBK"/>
          <w:color w:val="000000" w:themeColor="text1"/>
          <w:sz w:val="32"/>
          <w:szCs w:val="32"/>
          <w:highlight w:val="none"/>
        </w:rPr>
        <w:t>卫生专业技术人员所获学分当年有效，原则上不得结转或顺延至下一年度。临床医学类、口腔医学类、中医学类、中西医结合类以及公共卫生与预防医学类等专业间学分互认。</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因特殊原因无法在当年度完成继续医学教育学分的，由用人单位出具证明，可于下一年度内补学完成上一年度规定的学分。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第二十三条 </w:t>
      </w:r>
      <w:r>
        <w:rPr>
          <w:rFonts w:hint="eastAsia" w:ascii="方正仿宋_GBK" w:hAnsi="方正仿宋_GBK" w:eastAsia="方正仿宋_GBK" w:cs="方正仿宋_GBK"/>
          <w:color w:val="000000" w:themeColor="text1"/>
          <w:sz w:val="32"/>
          <w:szCs w:val="32"/>
          <w:highlight w:val="none"/>
        </w:rPr>
        <w:t>继续医学教育实行审核登记和验证制度。卫生专业技术人员所在单位应建立继续医学教育档案，对每年参加继续医学教育活动及所获学分情况进行登记审核。卫生健康行政部门分级负责卫生专业技术人员继续医学教育验证工作。</w:t>
      </w:r>
    </w:p>
    <w:p>
      <w:pPr>
        <w:spacing w:line="570" w:lineRule="exact"/>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第五章 远程继续医学教育</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第二十四条 </w:t>
      </w:r>
      <w:r>
        <w:rPr>
          <w:rFonts w:hint="eastAsia" w:ascii="方正仿宋_GBK" w:hAnsi="方正仿宋_GBK" w:eastAsia="方正仿宋_GBK" w:cs="方正仿宋_GBK"/>
          <w:color w:val="000000" w:themeColor="text1"/>
          <w:sz w:val="32"/>
          <w:szCs w:val="32"/>
          <w:highlight w:val="none"/>
        </w:rPr>
        <w:t>远程继续医学教育是指利用“互联网+”等现代信息技术手段，为卫生专业技术人员更加便捷、高效地接受各类继续教育活动，采取的线上教育形式。</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第二十五条</w:t>
      </w:r>
      <w:r>
        <w:rPr>
          <w:rFonts w:hint="eastAsia" w:ascii="方正仿宋_GBK" w:hAnsi="方正仿宋_GBK" w:eastAsia="方正仿宋_GBK" w:cs="方正仿宋_GBK"/>
          <w:color w:val="000000" w:themeColor="text1"/>
          <w:sz w:val="32"/>
          <w:szCs w:val="32"/>
          <w:highlight w:val="none"/>
        </w:rPr>
        <w:t xml:space="preserve"> 继续医学教育远程项目在申报、遴选、公布、学分登记、监督管理等方面与继续医学教育面授项目实行统一管理。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第二十六条</w:t>
      </w:r>
      <w:r>
        <w:rPr>
          <w:rFonts w:hint="eastAsia" w:ascii="方正仿宋_GBK" w:hAnsi="方正仿宋_GBK" w:eastAsia="方正仿宋_GBK" w:cs="方正仿宋_GBK"/>
          <w:color w:val="000000" w:themeColor="text1"/>
          <w:sz w:val="32"/>
          <w:szCs w:val="32"/>
          <w:highlight w:val="none"/>
        </w:rPr>
        <w:t xml:space="preserve"> 符合条件的单位可按规定申办继续医学教育远程项目，规范远程教学管理并加强效果评估。</w:t>
      </w:r>
    </w:p>
    <w:p>
      <w:pPr>
        <w:spacing w:line="570" w:lineRule="exact"/>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第六章 经费管理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第二十七条 </w:t>
      </w:r>
      <w:r>
        <w:rPr>
          <w:rFonts w:hint="eastAsia" w:ascii="方正仿宋_GBK" w:hAnsi="方正仿宋_GBK" w:eastAsia="方正仿宋_GBK" w:cs="方正仿宋_GBK"/>
          <w:color w:val="000000" w:themeColor="text1"/>
          <w:sz w:val="32"/>
          <w:szCs w:val="32"/>
          <w:highlight w:val="none"/>
        </w:rPr>
        <w:t>继续医学教育实行政府、社会、用人单位、个人多元投入机制。用人单位应加大卫生专业技术人员参加继续医学教育的保障力度，依法依规提取和使用职工教育经费。</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第二十八条</w:t>
      </w:r>
      <w:r>
        <w:rPr>
          <w:rFonts w:hint="eastAsia" w:ascii="方正仿宋_GBK" w:hAnsi="方正仿宋_GBK" w:eastAsia="方正仿宋_GBK" w:cs="方正仿宋_GBK"/>
          <w:color w:val="000000" w:themeColor="text1"/>
          <w:sz w:val="32"/>
          <w:szCs w:val="32"/>
          <w:highlight w:val="none"/>
        </w:rPr>
        <w:t xml:space="preserve"> 卫生健康行政部门直接举办的继续医学教育活动，应当突出公益性，不得收取费用；委托有关单位举办的继续医学教育活动，应当依法通过招标等方式选择，并签订政府采购合同，明确双方权利和义务。</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鼓励支持事业单位、行业组织、企业等举办公益性继续医学教育活动。卫生专业技术人员参加需本人承担全部或大部分费用的继续医学教育活动，卫生健康行政部门和用人单位不得指定教育培训机构。</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第二十九条</w:t>
      </w:r>
      <w:r>
        <w:rPr>
          <w:rFonts w:hint="eastAsia" w:ascii="方正仿宋_GBK" w:hAnsi="方正仿宋_GBK" w:eastAsia="方正仿宋_GBK" w:cs="方正仿宋_GBK"/>
          <w:color w:val="000000" w:themeColor="text1"/>
          <w:sz w:val="32"/>
          <w:szCs w:val="32"/>
          <w:highlight w:val="none"/>
        </w:rPr>
        <w:t xml:space="preserve"> 继续医学教育活动主办单位应当严格遵守医疗卫生行业学术会议活动管理要求，严禁成为推介产品、输送利益的平台，严禁以继续医学教育名义组织与培训无关的活动，严禁乱收费或只收费不培训，以及从事其他有关法律法规明令禁止的行为。</w:t>
      </w:r>
    </w:p>
    <w:p>
      <w:pPr>
        <w:spacing w:line="570" w:lineRule="exact"/>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第七章 监督考核</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第三十条 </w:t>
      </w:r>
      <w:r>
        <w:rPr>
          <w:rFonts w:hint="eastAsia" w:ascii="方正仿宋_GBK" w:hAnsi="方正仿宋_GBK" w:eastAsia="方正仿宋_GBK" w:cs="方正仿宋_GBK"/>
          <w:color w:val="000000" w:themeColor="text1"/>
          <w:sz w:val="32"/>
          <w:szCs w:val="32"/>
          <w:highlight w:val="none"/>
        </w:rPr>
        <w:t>卫生健康行政部门应当综合运用第三方评估、飞行检查、暗访等方式对继续医学教育活动进行监评估管，重点评估继续医学教育活动的组织实施、学分管理、收费及资金使用、培训质量和效果、行业和学员反馈意见等。评估结果作为继续医学教育活动绩效考核、动态管理的重要依据。</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第三十一条 </w:t>
      </w:r>
      <w:r>
        <w:rPr>
          <w:rFonts w:hint="eastAsia" w:ascii="方正仿宋_GBK" w:hAnsi="方正仿宋_GBK" w:eastAsia="方正仿宋_GBK" w:cs="方正仿宋_GBK"/>
          <w:color w:val="000000" w:themeColor="text1"/>
          <w:sz w:val="32"/>
          <w:szCs w:val="32"/>
          <w:highlight w:val="none"/>
        </w:rPr>
        <w:t>卫生健康行政部门每年应当组织对本地区举办的继续医学教育项目执行情况进行评估和随机抽查，抽查数量不少于年度公布项目总数的10%。省级卫生健康行政部门不定期组织对各地继续医学教育项目实施情况进行核实评估。</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第三十二条 </w:t>
      </w:r>
      <w:r>
        <w:rPr>
          <w:rFonts w:hint="eastAsia" w:ascii="方正仿宋_GBK" w:hAnsi="方正仿宋_GBK" w:eastAsia="方正仿宋_GBK" w:cs="方正仿宋_GBK"/>
          <w:color w:val="000000" w:themeColor="text1"/>
          <w:sz w:val="32"/>
          <w:szCs w:val="32"/>
          <w:highlight w:val="none"/>
        </w:rPr>
        <w:t>继续医学教育活动主办单位应当对参加继续医学教育活动的卫生专业技术人员进行过程考核，用人单位负责对卫生专业技术人员完成继续医学教育情况的结果审核。</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第三十三条 </w:t>
      </w:r>
      <w:r>
        <w:rPr>
          <w:rFonts w:hint="eastAsia" w:ascii="方正仿宋_GBK" w:hAnsi="方正仿宋_GBK" w:eastAsia="方正仿宋_GBK" w:cs="方正仿宋_GBK"/>
          <w:color w:val="000000" w:themeColor="text1"/>
          <w:sz w:val="32"/>
          <w:szCs w:val="32"/>
          <w:highlight w:val="none"/>
        </w:rPr>
        <w:t>用人单位应当将卫生专业技术人员接受继续医学教育情况纳入其年度绩效考核的必备内容，继续医学教育合格作为岗位聘用和定期考核的重要依据，作为聘任专业技术职务或申报评定上一级资格的必备条件。</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第三十四条 </w:t>
      </w:r>
      <w:r>
        <w:rPr>
          <w:rFonts w:hint="eastAsia" w:ascii="方正仿宋_GBK" w:hAnsi="方正仿宋_GBK" w:eastAsia="方正仿宋_GBK" w:cs="方正仿宋_GBK"/>
          <w:color w:val="000000" w:themeColor="text1"/>
          <w:sz w:val="32"/>
          <w:szCs w:val="32"/>
          <w:highlight w:val="none"/>
        </w:rPr>
        <w:t>卫生健康行政部门应当将用人单位开展继续医学教育活动、保障卫生专业技术人员完成继续医学教育的情况，作为对医疗机构巡查、等级评审、绩效评价等的必备内容。</w:t>
      </w:r>
    </w:p>
    <w:p>
      <w:pPr>
        <w:spacing w:line="570" w:lineRule="exact"/>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第八章 责任追究</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第三十五条</w:t>
      </w:r>
      <w:r>
        <w:rPr>
          <w:rFonts w:hint="eastAsia" w:ascii="方正仿宋_GBK" w:hAnsi="方正仿宋_GBK" w:eastAsia="方正仿宋_GBK" w:cs="方正仿宋_GBK"/>
          <w:color w:val="000000" w:themeColor="text1"/>
          <w:sz w:val="32"/>
          <w:szCs w:val="32"/>
          <w:highlight w:val="none"/>
        </w:rPr>
        <w:t xml:space="preserve"> 用人单位违反本办法有关规定的，由主管卫生健康行政部门责令改正。给卫生专业技术人员造成损失的，依法承担赔偿责任。</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第三十六条</w:t>
      </w:r>
      <w:r>
        <w:rPr>
          <w:rFonts w:hint="eastAsia" w:ascii="方正仿宋_GBK" w:hAnsi="方正仿宋_GBK" w:eastAsia="方正仿宋_GBK" w:cs="方正仿宋_GBK"/>
          <w:color w:val="000000" w:themeColor="text1"/>
          <w:sz w:val="32"/>
          <w:szCs w:val="32"/>
          <w:highlight w:val="none"/>
        </w:rPr>
        <w:t xml:space="preserve"> 卫生专业技术人员无正当理由不参加继续医学教育或在学习培训期间违反学习纪律和管理制度的，用人单位可视情况给予批评教育、不予报销或要求退还培训费用等处理。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第三十七条 </w:t>
      </w:r>
      <w:r>
        <w:rPr>
          <w:rFonts w:hint="eastAsia" w:ascii="方正仿宋_GBK" w:hAnsi="方正仿宋_GBK" w:eastAsia="方正仿宋_GBK" w:cs="方正仿宋_GBK"/>
          <w:color w:val="000000" w:themeColor="text1"/>
          <w:sz w:val="32"/>
          <w:szCs w:val="32"/>
          <w:highlight w:val="none"/>
        </w:rPr>
        <w:t>继续医学教育活动主办单位违反本办法有关规定的，暂停举办继续医学教育项目，由批准其举办继续医学教育项目的卫生健康行政部门责令限期整改。整改不力的，1-3年不予受理继续医学教育项目申报，并依法依规予以处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第三十八条</w:t>
      </w:r>
      <w:r>
        <w:rPr>
          <w:rFonts w:hint="eastAsia" w:ascii="方正仿宋_GBK" w:hAnsi="方正仿宋_GBK" w:eastAsia="方正仿宋_GBK" w:cs="方正仿宋_GBK"/>
          <w:color w:val="000000" w:themeColor="text1"/>
          <w:sz w:val="32"/>
          <w:szCs w:val="32"/>
          <w:highlight w:val="none"/>
        </w:rPr>
        <w:t xml:space="preserve"> 卫生健康行政部门及其工作人员在继续医学教育管理中不认真履职或者徇私舞弊、滥用职权、玩忽职守的，由上级卫生健康行政部门或者其他具有管理权限的机关责令改正，并按照管理权限对直接负责的主管人员和其他直接责任人员依法依规予以处理。</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受卫生健康行政部门委托提供继续医学教育研究、咨询、指导等服务的高校、医疗卫生机构和行业组织等有关单位，不能完成交办工作的，暂停1-3年承接继续医学教育相关工作。</w:t>
      </w:r>
    </w:p>
    <w:p>
      <w:pPr>
        <w:spacing w:line="570" w:lineRule="exact"/>
        <w:jc w:val="center"/>
        <w:rPr>
          <w:rFonts w:hint="eastAsia" w:ascii="方正黑体_GBK" w:hAnsi="方正黑体_GBK" w:eastAsia="方正黑体_GBK" w:cs="方正黑体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第九章 附则</w:t>
      </w:r>
    </w:p>
    <w:p>
      <w:pPr>
        <w:spacing w:line="570" w:lineRule="exact"/>
        <w:rPr>
          <w:rFonts w:hint="eastAsia" w:ascii="方正仿宋_GBK" w:hAnsi="方正仿宋_GBK" w:eastAsia="方正仿宋_GBK" w:cs="方正仿宋_GBK"/>
          <w:color w:val="000000" w:themeColor="text1"/>
          <w:sz w:val="32"/>
          <w:szCs w:val="32"/>
          <w:highlight w:val="none"/>
        </w:rPr>
      </w:pPr>
      <w:r>
        <w:rPr>
          <w:rFonts w:hint="eastAsia" w:ascii="方正仿宋_GBK" w:hAnsi="方正仿宋_GBK" w:eastAsia="方正仿宋_GBK" w:cs="方正仿宋_GBK"/>
          <w:color w:val="000000" w:themeColor="text1"/>
          <w:sz w:val="32"/>
          <w:szCs w:val="32"/>
          <w:highlight w:val="none"/>
        </w:rPr>
        <w:t xml:space="preserve">    </w:t>
      </w:r>
      <w:r>
        <w:rPr>
          <w:rFonts w:hint="eastAsia" w:ascii="方正黑体_GBK" w:hAnsi="方正黑体_GBK" w:eastAsia="方正黑体_GBK" w:cs="方正黑体_GBK"/>
          <w:color w:val="000000" w:themeColor="text1"/>
          <w:sz w:val="32"/>
          <w:szCs w:val="32"/>
          <w:highlight w:val="none"/>
        </w:rPr>
        <w:t>第三十九条</w:t>
      </w:r>
      <w:r>
        <w:rPr>
          <w:rFonts w:hint="eastAsia" w:ascii="方正仿宋_GBK" w:hAnsi="方正仿宋_GBK" w:eastAsia="方正仿宋_GBK" w:cs="方正仿宋_GBK"/>
          <w:color w:val="000000" w:themeColor="text1"/>
          <w:sz w:val="32"/>
          <w:szCs w:val="32"/>
          <w:highlight w:val="none"/>
        </w:rPr>
        <w:t xml:space="preserve"> 军队有关单位开展面向社会开展的继续医学教育活动，按照本实施办法执行；开展面向军队的继续医学教育活动，按照军队卫生主管部门有关要求执行。</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第四十条 </w:t>
      </w:r>
      <w:r>
        <w:rPr>
          <w:rFonts w:hint="eastAsia" w:ascii="方正仿宋_GBK" w:hAnsi="方正仿宋_GBK" w:eastAsia="方正仿宋_GBK" w:cs="方正仿宋_GBK"/>
          <w:color w:val="000000" w:themeColor="text1"/>
          <w:sz w:val="32"/>
          <w:szCs w:val="32"/>
          <w:highlight w:val="none"/>
        </w:rPr>
        <w:t>本办法中卫生健康行政部门是指卫生健康行政部门、疾控行政部门。中医药和疾控机构继续医学教育管理，国家有其他规定的，按照有关规定执行。</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第四十一条 </w:t>
      </w:r>
      <w:r>
        <w:rPr>
          <w:rFonts w:hint="eastAsia" w:ascii="方正仿宋_GBK" w:hAnsi="方正仿宋_GBK" w:eastAsia="方正仿宋_GBK" w:cs="方正仿宋_GBK"/>
          <w:color w:val="000000" w:themeColor="text1"/>
          <w:sz w:val="32"/>
          <w:szCs w:val="32"/>
          <w:highlight w:val="none"/>
        </w:rPr>
        <w:t xml:space="preserve"> 本办法由云南省卫生健康委、云南省疾控局负责解释。</w:t>
      </w:r>
    </w:p>
    <w:p>
      <w:pPr>
        <w:spacing w:line="570" w:lineRule="exact"/>
        <w:ind w:firstLine="640" w:firstLineChars="200"/>
        <w:rPr>
          <w:rFonts w:hint="eastAsia" w:ascii="方正仿宋_GBK" w:hAnsi="方正仿宋_GBK" w:eastAsia="方正仿宋_GBK" w:cs="方正仿宋_GBK"/>
          <w:color w:val="000000" w:themeColor="text1"/>
          <w:sz w:val="32"/>
          <w:szCs w:val="32"/>
          <w:highlight w:val="none"/>
        </w:rPr>
      </w:pPr>
      <w:r>
        <w:rPr>
          <w:rFonts w:hint="eastAsia" w:ascii="方正黑体_GBK" w:hAnsi="方正黑体_GBK" w:eastAsia="方正黑体_GBK" w:cs="方正黑体_GBK"/>
          <w:color w:val="000000" w:themeColor="text1"/>
          <w:sz w:val="32"/>
          <w:szCs w:val="32"/>
          <w:highlight w:val="none"/>
        </w:rPr>
        <w:t xml:space="preserve">第四十二条 </w:t>
      </w:r>
      <w:r>
        <w:rPr>
          <w:rFonts w:hint="eastAsia" w:ascii="方正仿宋_GBK" w:hAnsi="方正仿宋_GBK" w:eastAsia="方正仿宋_GBK" w:cs="方正仿宋_GBK"/>
          <w:color w:val="000000" w:themeColor="text1"/>
          <w:sz w:val="32"/>
          <w:szCs w:val="32"/>
          <w:highlight w:val="none"/>
        </w:rPr>
        <w:t xml:space="preserve"> </w:t>
      </w:r>
      <w:r>
        <w:rPr>
          <w:rFonts w:hint="eastAsia" w:ascii="方正仿宋_GBK" w:hAnsi="方正仿宋_GBK" w:eastAsia="方正仿宋_GBK" w:cs="方正仿宋_GBK"/>
          <w:color w:val="000000" w:themeColor="text1"/>
          <w:sz w:val="32"/>
          <w:szCs w:val="32"/>
          <w:lang w:eastAsia="zh-CN"/>
        </w:rPr>
        <w:t>原《云南省继续医学教育实施细则（试行）》（云卫科教发〔</w:t>
      </w:r>
      <w:r>
        <w:rPr>
          <w:rFonts w:hint="eastAsia" w:ascii="方正仿宋_GBK" w:hAnsi="方正仿宋_GBK" w:eastAsia="方正仿宋_GBK" w:cs="方正仿宋_GBK"/>
          <w:color w:val="000000" w:themeColor="text1"/>
          <w:sz w:val="32"/>
          <w:szCs w:val="32"/>
          <w:lang w:val="en-US" w:eastAsia="zh-CN"/>
        </w:rPr>
        <w:t>2013</w:t>
      </w:r>
      <w:r>
        <w:rPr>
          <w:rFonts w:hint="eastAsia" w:ascii="方正仿宋_GBK" w:hAnsi="方正仿宋_GBK" w:eastAsia="方正仿宋_GBK" w:cs="方正仿宋_GBK"/>
          <w:color w:val="000000" w:themeColor="text1"/>
          <w:sz w:val="32"/>
          <w:szCs w:val="32"/>
          <w:lang w:eastAsia="zh-CN"/>
        </w:rPr>
        <w:t>〕</w:t>
      </w:r>
      <w:r>
        <w:rPr>
          <w:rFonts w:hint="eastAsia" w:ascii="方正仿宋_GBK" w:hAnsi="方正仿宋_GBK" w:eastAsia="方正仿宋_GBK" w:cs="方正仿宋_GBK"/>
          <w:color w:val="000000" w:themeColor="text1"/>
          <w:sz w:val="32"/>
          <w:szCs w:val="32"/>
          <w:lang w:val="en-US" w:eastAsia="zh-CN"/>
        </w:rPr>
        <w:t>2号</w:t>
      </w:r>
      <w:r>
        <w:rPr>
          <w:rFonts w:hint="eastAsia" w:ascii="方正仿宋_GBK" w:hAnsi="方正仿宋_GBK" w:eastAsia="方正仿宋_GBK" w:cs="方正仿宋_GBK"/>
          <w:color w:val="000000" w:themeColor="text1"/>
          <w:sz w:val="32"/>
          <w:szCs w:val="32"/>
          <w:lang w:eastAsia="zh-CN"/>
        </w:rPr>
        <w:t>）</w:t>
      </w:r>
      <w:r>
        <w:rPr>
          <w:rFonts w:hint="eastAsia" w:ascii="方正仿宋_GBK" w:hAnsi="方正仿宋_GBK" w:eastAsia="方正仿宋_GBK" w:cs="方正仿宋_GBK"/>
          <w:color w:val="000000" w:themeColor="text1"/>
          <w:sz w:val="32"/>
          <w:szCs w:val="32"/>
          <w:lang w:val="en-US" w:eastAsia="zh-CN"/>
        </w:rPr>
        <w:t>自本办法印发之日起废止。</w:t>
      </w:r>
    </w:p>
    <w:p>
      <w:pPr>
        <w:spacing w:line="570" w:lineRule="exact"/>
        <w:rPr>
          <w:rFonts w:hint="eastAsia" w:ascii="方正仿宋_GBK" w:hAnsi="方正仿宋_GBK" w:eastAsia="方正仿宋_GBK" w:cs="方正仿宋_GBK"/>
          <w:color w:val="000000" w:themeColor="text1"/>
          <w:sz w:val="32"/>
          <w:szCs w:val="32"/>
          <w:highlight w:val="none"/>
        </w:rPr>
      </w:pPr>
    </w:p>
    <w:p>
      <w:pPr>
        <w:spacing w:line="570" w:lineRule="exact"/>
        <w:rPr>
          <w:rFonts w:hint="eastAsia" w:ascii="方正仿宋_GBK" w:hAnsi="方正仿宋_GBK" w:eastAsia="方正仿宋_GBK" w:cs="方正仿宋_GBK"/>
          <w:color w:val="000000" w:themeColor="text1"/>
          <w:sz w:val="32"/>
          <w:szCs w:val="32"/>
          <w:highlight w:val="none"/>
        </w:rPr>
      </w:pPr>
    </w:p>
    <w:sectPr>
      <w:footerReference r:id="rId5" w:type="default"/>
      <w:pgSz w:w="11906" w:h="16838"/>
      <w:pgMar w:top="1440" w:right="1633" w:bottom="1440" w:left="163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1025" o:spid="_x0000_s1025"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revisionView w:markup="0"/>
  <w:trackRevisions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CD2E46"/>
    <w:rsid w:val="000048E8"/>
    <w:rsid w:val="00017859"/>
    <w:rsid w:val="000B35A2"/>
    <w:rsid w:val="00111B96"/>
    <w:rsid w:val="00113ECA"/>
    <w:rsid w:val="00131816"/>
    <w:rsid w:val="00196CE0"/>
    <w:rsid w:val="001E4E6A"/>
    <w:rsid w:val="00213A2F"/>
    <w:rsid w:val="002301E4"/>
    <w:rsid w:val="002360E1"/>
    <w:rsid w:val="00237C1E"/>
    <w:rsid w:val="002458CE"/>
    <w:rsid w:val="00285545"/>
    <w:rsid w:val="002B0175"/>
    <w:rsid w:val="002D4CE2"/>
    <w:rsid w:val="002E6359"/>
    <w:rsid w:val="003C3F5F"/>
    <w:rsid w:val="003C61C0"/>
    <w:rsid w:val="003D4913"/>
    <w:rsid w:val="00416863"/>
    <w:rsid w:val="00431780"/>
    <w:rsid w:val="00434C83"/>
    <w:rsid w:val="004420A8"/>
    <w:rsid w:val="00453240"/>
    <w:rsid w:val="0052036E"/>
    <w:rsid w:val="0052655D"/>
    <w:rsid w:val="005315B1"/>
    <w:rsid w:val="00531D16"/>
    <w:rsid w:val="00583F47"/>
    <w:rsid w:val="005E0B04"/>
    <w:rsid w:val="005F19AB"/>
    <w:rsid w:val="006036C3"/>
    <w:rsid w:val="00617F82"/>
    <w:rsid w:val="00632CF6"/>
    <w:rsid w:val="00641755"/>
    <w:rsid w:val="00677148"/>
    <w:rsid w:val="00687B7D"/>
    <w:rsid w:val="006B3BD5"/>
    <w:rsid w:val="006E20D7"/>
    <w:rsid w:val="006E3D9F"/>
    <w:rsid w:val="0071336D"/>
    <w:rsid w:val="00716CC5"/>
    <w:rsid w:val="00747D90"/>
    <w:rsid w:val="00780710"/>
    <w:rsid w:val="007849BB"/>
    <w:rsid w:val="007B69E4"/>
    <w:rsid w:val="008009E6"/>
    <w:rsid w:val="00826813"/>
    <w:rsid w:val="00870693"/>
    <w:rsid w:val="008F4A03"/>
    <w:rsid w:val="0091395C"/>
    <w:rsid w:val="00966FF7"/>
    <w:rsid w:val="00977291"/>
    <w:rsid w:val="00982468"/>
    <w:rsid w:val="009E78DF"/>
    <w:rsid w:val="009F5E2E"/>
    <w:rsid w:val="00A22D80"/>
    <w:rsid w:val="00A23ECE"/>
    <w:rsid w:val="00A45910"/>
    <w:rsid w:val="00AB13EA"/>
    <w:rsid w:val="00AC2547"/>
    <w:rsid w:val="00AC2FF7"/>
    <w:rsid w:val="00B04C20"/>
    <w:rsid w:val="00B347FA"/>
    <w:rsid w:val="00B44C1F"/>
    <w:rsid w:val="00B51072"/>
    <w:rsid w:val="00B814F3"/>
    <w:rsid w:val="00B85342"/>
    <w:rsid w:val="00BB40E9"/>
    <w:rsid w:val="00BC55DF"/>
    <w:rsid w:val="00BE6327"/>
    <w:rsid w:val="00BF48E8"/>
    <w:rsid w:val="00BF742F"/>
    <w:rsid w:val="00BF798D"/>
    <w:rsid w:val="00C04D81"/>
    <w:rsid w:val="00C10BCD"/>
    <w:rsid w:val="00C44444"/>
    <w:rsid w:val="00C45C4C"/>
    <w:rsid w:val="00C778D5"/>
    <w:rsid w:val="00C84A10"/>
    <w:rsid w:val="00CC5C33"/>
    <w:rsid w:val="00CD2E46"/>
    <w:rsid w:val="00CD6BDE"/>
    <w:rsid w:val="00CF0BAF"/>
    <w:rsid w:val="00D13FE0"/>
    <w:rsid w:val="00D443E7"/>
    <w:rsid w:val="00D5132F"/>
    <w:rsid w:val="00D93AC0"/>
    <w:rsid w:val="00D97B9A"/>
    <w:rsid w:val="00DE6624"/>
    <w:rsid w:val="00E22EB9"/>
    <w:rsid w:val="00E709BC"/>
    <w:rsid w:val="00E86229"/>
    <w:rsid w:val="00EB76FE"/>
    <w:rsid w:val="00EE15C2"/>
    <w:rsid w:val="00F07737"/>
    <w:rsid w:val="00F7054A"/>
    <w:rsid w:val="00F70A27"/>
    <w:rsid w:val="0137452E"/>
    <w:rsid w:val="02C07916"/>
    <w:rsid w:val="03AD54FA"/>
    <w:rsid w:val="07CC1F54"/>
    <w:rsid w:val="07F70CE6"/>
    <w:rsid w:val="09116F1B"/>
    <w:rsid w:val="0A7D0DC0"/>
    <w:rsid w:val="0AC04EDD"/>
    <w:rsid w:val="0CCFEBEA"/>
    <w:rsid w:val="0DE6C495"/>
    <w:rsid w:val="0FDD33E8"/>
    <w:rsid w:val="0FFDBFF2"/>
    <w:rsid w:val="16E639B9"/>
    <w:rsid w:val="16F1795E"/>
    <w:rsid w:val="173D7210"/>
    <w:rsid w:val="17FFD48F"/>
    <w:rsid w:val="180A711E"/>
    <w:rsid w:val="18F9281D"/>
    <w:rsid w:val="19BF4267"/>
    <w:rsid w:val="1A6D7625"/>
    <w:rsid w:val="1EDB2F3B"/>
    <w:rsid w:val="1EED4E2A"/>
    <w:rsid w:val="22561C6C"/>
    <w:rsid w:val="24A11491"/>
    <w:rsid w:val="24F710F5"/>
    <w:rsid w:val="28200F7A"/>
    <w:rsid w:val="28FFC146"/>
    <w:rsid w:val="29C539F9"/>
    <w:rsid w:val="2BFA078E"/>
    <w:rsid w:val="2E077ADD"/>
    <w:rsid w:val="328451BE"/>
    <w:rsid w:val="32B35277"/>
    <w:rsid w:val="33FF4D26"/>
    <w:rsid w:val="376B7213"/>
    <w:rsid w:val="3AC65D6E"/>
    <w:rsid w:val="3AF52160"/>
    <w:rsid w:val="3B2E454B"/>
    <w:rsid w:val="3BEB71DC"/>
    <w:rsid w:val="3C2929A0"/>
    <w:rsid w:val="3C9D3629"/>
    <w:rsid w:val="3CA5223A"/>
    <w:rsid w:val="3DBD07D9"/>
    <w:rsid w:val="3DE93B6E"/>
    <w:rsid w:val="3EB037B9"/>
    <w:rsid w:val="3F600B42"/>
    <w:rsid w:val="3F6E1660"/>
    <w:rsid w:val="3FBE4640"/>
    <w:rsid w:val="3FDF1632"/>
    <w:rsid w:val="3FE3D5EE"/>
    <w:rsid w:val="3FFD4FA8"/>
    <w:rsid w:val="46A356BD"/>
    <w:rsid w:val="46EFCF1A"/>
    <w:rsid w:val="46F5898E"/>
    <w:rsid w:val="48A33CC1"/>
    <w:rsid w:val="4AFAE1F3"/>
    <w:rsid w:val="4BBFAF30"/>
    <w:rsid w:val="4C7B5A45"/>
    <w:rsid w:val="4D566E36"/>
    <w:rsid w:val="4EBF4915"/>
    <w:rsid w:val="4EEEC443"/>
    <w:rsid w:val="4F04424B"/>
    <w:rsid w:val="4F7FF1AA"/>
    <w:rsid w:val="51576F0F"/>
    <w:rsid w:val="517C0F3F"/>
    <w:rsid w:val="51BDDE5A"/>
    <w:rsid w:val="533DC6E1"/>
    <w:rsid w:val="537F0BEE"/>
    <w:rsid w:val="54DF64FD"/>
    <w:rsid w:val="5777106F"/>
    <w:rsid w:val="577E545B"/>
    <w:rsid w:val="57B1FA74"/>
    <w:rsid w:val="5BFB9A90"/>
    <w:rsid w:val="5D7E53A6"/>
    <w:rsid w:val="5D7EA438"/>
    <w:rsid w:val="5E5A4AAB"/>
    <w:rsid w:val="5E6D6661"/>
    <w:rsid w:val="5EED9A1A"/>
    <w:rsid w:val="5F1B2786"/>
    <w:rsid w:val="61744E67"/>
    <w:rsid w:val="624140F6"/>
    <w:rsid w:val="6257123A"/>
    <w:rsid w:val="65E56E33"/>
    <w:rsid w:val="66141120"/>
    <w:rsid w:val="665BCD27"/>
    <w:rsid w:val="66AD63D1"/>
    <w:rsid w:val="675FC51F"/>
    <w:rsid w:val="676F7418"/>
    <w:rsid w:val="67AD4859"/>
    <w:rsid w:val="6D8E1A73"/>
    <w:rsid w:val="6E420D3E"/>
    <w:rsid w:val="6F71411A"/>
    <w:rsid w:val="6FFFAB2A"/>
    <w:rsid w:val="71DD23E4"/>
    <w:rsid w:val="73FBFA00"/>
    <w:rsid w:val="74596FD6"/>
    <w:rsid w:val="767F5121"/>
    <w:rsid w:val="76DD532E"/>
    <w:rsid w:val="77A3F205"/>
    <w:rsid w:val="77B13372"/>
    <w:rsid w:val="77EDB066"/>
    <w:rsid w:val="77FB0DA7"/>
    <w:rsid w:val="79916299"/>
    <w:rsid w:val="79CF4FC2"/>
    <w:rsid w:val="7ADFE845"/>
    <w:rsid w:val="7BA33939"/>
    <w:rsid w:val="7BB7185F"/>
    <w:rsid w:val="7BFFB512"/>
    <w:rsid w:val="7CE68AF7"/>
    <w:rsid w:val="7D732F79"/>
    <w:rsid w:val="7DFF6D12"/>
    <w:rsid w:val="7E6FFB63"/>
    <w:rsid w:val="7EADD0F2"/>
    <w:rsid w:val="7EEA3536"/>
    <w:rsid w:val="7EFB7140"/>
    <w:rsid w:val="7F3FC343"/>
    <w:rsid w:val="7F7FF2A6"/>
    <w:rsid w:val="7FBB0E2F"/>
    <w:rsid w:val="7FE78437"/>
    <w:rsid w:val="7FE9606C"/>
    <w:rsid w:val="7FEBF3A9"/>
    <w:rsid w:val="7FF7E16B"/>
    <w:rsid w:val="7FFBDF78"/>
    <w:rsid w:val="7FFDA3BA"/>
    <w:rsid w:val="7FFE1DFE"/>
    <w:rsid w:val="7FFF3A3A"/>
    <w:rsid w:val="97EFF5C2"/>
    <w:rsid w:val="9BF942BA"/>
    <w:rsid w:val="9F6BCB64"/>
    <w:rsid w:val="A4BF3B0F"/>
    <w:rsid w:val="A5B999F9"/>
    <w:rsid w:val="ADA9892F"/>
    <w:rsid w:val="B33FB105"/>
    <w:rsid w:val="B6BBD173"/>
    <w:rsid w:val="B6FD6BC2"/>
    <w:rsid w:val="B7AD8006"/>
    <w:rsid w:val="B9DFEB9E"/>
    <w:rsid w:val="BA7B23C6"/>
    <w:rsid w:val="BBAE5D22"/>
    <w:rsid w:val="BCFB394A"/>
    <w:rsid w:val="BDA77192"/>
    <w:rsid w:val="BE37EA48"/>
    <w:rsid w:val="BF5F4884"/>
    <w:rsid w:val="BFD7FB1A"/>
    <w:rsid w:val="CB3B81B0"/>
    <w:rsid w:val="CCED92A4"/>
    <w:rsid w:val="CF7D9A68"/>
    <w:rsid w:val="D1DF10D4"/>
    <w:rsid w:val="D61B4301"/>
    <w:rsid w:val="DBBBB38D"/>
    <w:rsid w:val="DC1DFB84"/>
    <w:rsid w:val="DDFE8CD5"/>
    <w:rsid w:val="DEFFC226"/>
    <w:rsid w:val="DF5FD58A"/>
    <w:rsid w:val="DF7E67EF"/>
    <w:rsid w:val="DFAF89BC"/>
    <w:rsid w:val="DFF5734E"/>
    <w:rsid w:val="DFF5D032"/>
    <w:rsid w:val="E67C57FA"/>
    <w:rsid w:val="E7576756"/>
    <w:rsid w:val="E77FF0F7"/>
    <w:rsid w:val="E7BDA517"/>
    <w:rsid w:val="E7BE2A29"/>
    <w:rsid w:val="EB3E4ABA"/>
    <w:rsid w:val="ED4E0BF4"/>
    <w:rsid w:val="ED9F3FB3"/>
    <w:rsid w:val="EF6EE7A4"/>
    <w:rsid w:val="EFDB6FFE"/>
    <w:rsid w:val="EFF3A7F5"/>
    <w:rsid w:val="EFFF32F2"/>
    <w:rsid w:val="F37F0144"/>
    <w:rsid w:val="F3BE3D5C"/>
    <w:rsid w:val="F3F665C0"/>
    <w:rsid w:val="F77304E9"/>
    <w:rsid w:val="F77FC12A"/>
    <w:rsid w:val="F7B9152C"/>
    <w:rsid w:val="F7CEB315"/>
    <w:rsid w:val="F7F34AB2"/>
    <w:rsid w:val="F7F7E023"/>
    <w:rsid w:val="F99ED53E"/>
    <w:rsid w:val="F9DAA11A"/>
    <w:rsid w:val="FADBBE8F"/>
    <w:rsid w:val="FBFEB111"/>
    <w:rsid w:val="FBFF9A1C"/>
    <w:rsid w:val="FCAF3B28"/>
    <w:rsid w:val="FCBB3CF5"/>
    <w:rsid w:val="FCE4B070"/>
    <w:rsid w:val="FCED522B"/>
    <w:rsid w:val="FCF43267"/>
    <w:rsid w:val="FD575793"/>
    <w:rsid w:val="FD730E5F"/>
    <w:rsid w:val="FDA7D90C"/>
    <w:rsid w:val="FDBE73B1"/>
    <w:rsid w:val="FE734873"/>
    <w:rsid w:val="FEAB0FD2"/>
    <w:rsid w:val="FF56EE8E"/>
    <w:rsid w:val="FF5F2508"/>
    <w:rsid w:val="FF5F76A8"/>
    <w:rsid w:val="FF6B13BE"/>
    <w:rsid w:val="FF77246D"/>
    <w:rsid w:val="FF787ECA"/>
    <w:rsid w:val="FF99D016"/>
    <w:rsid w:val="FFBED648"/>
    <w:rsid w:val="FFEDA839"/>
    <w:rsid w:val="FFFFB5E8"/>
    <w:rsid w:val="FFFFB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366091"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366091"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366091"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366091"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366091"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366091"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85858" w:themeColor="text1" w:themeTint="A6"/>
    </w:rPr>
  </w:style>
  <w:style w:type="paragraph" w:styleId="9">
    <w:name w:val="heading 8"/>
    <w:basedOn w:val="1"/>
    <w:next w:val="1"/>
    <w:link w:val="25"/>
    <w:semiHidden/>
    <w:unhideWhenUsed/>
    <w:qFormat/>
    <w:uiPriority w:val="9"/>
    <w:pPr>
      <w:keepNext/>
      <w:keepLines/>
      <w:outlineLvl w:val="7"/>
    </w:pPr>
    <w:rPr>
      <w:rFonts w:cstheme="majorBidi"/>
      <w:color w:val="585858" w:themeColor="text1" w:themeTint="A6"/>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85858" w:themeColor="text1" w:themeTint="A6"/>
    </w:rPr>
  </w:style>
  <w:style w:type="character" w:default="1" w:styleId="17">
    <w:name w:val="Default Paragraph Font"/>
    <w:semiHidden/>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85858" w:themeColor="text1" w:themeTint="A6"/>
      <w:spacing w:val="15"/>
      <w:sz w:val="28"/>
      <w:szCs w:val="28"/>
    </w:rPr>
  </w:style>
  <w:style w:type="paragraph" w:styleId="14">
    <w:name w:val="Normal (Web)"/>
    <w:basedOn w:val="1"/>
    <w:semiHidden/>
    <w:unhideWhenUsed/>
    <w:qFormat/>
    <w:uiPriority w:val="99"/>
    <w:rPr>
      <w:sz w:val="24"/>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366091"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366091"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366091" w:themeColor="accent1" w:themeShade="BF"/>
      <w:sz w:val="32"/>
      <w:szCs w:val="32"/>
    </w:rPr>
  </w:style>
  <w:style w:type="character" w:customStyle="1" w:styleId="21">
    <w:name w:val="标题 4 字符"/>
    <w:basedOn w:val="17"/>
    <w:link w:val="5"/>
    <w:semiHidden/>
    <w:qFormat/>
    <w:uiPriority w:val="9"/>
    <w:rPr>
      <w:rFonts w:cstheme="majorBidi"/>
      <w:color w:val="366091" w:themeColor="accent1" w:themeShade="BF"/>
      <w:sz w:val="28"/>
      <w:szCs w:val="28"/>
    </w:rPr>
  </w:style>
  <w:style w:type="character" w:customStyle="1" w:styleId="22">
    <w:name w:val="标题 5 字符"/>
    <w:basedOn w:val="17"/>
    <w:link w:val="6"/>
    <w:semiHidden/>
    <w:qFormat/>
    <w:uiPriority w:val="9"/>
    <w:rPr>
      <w:rFonts w:cstheme="majorBidi"/>
      <w:color w:val="366091" w:themeColor="accent1" w:themeShade="BF"/>
      <w:sz w:val="24"/>
      <w:szCs w:val="24"/>
    </w:rPr>
  </w:style>
  <w:style w:type="character" w:customStyle="1" w:styleId="23">
    <w:name w:val="标题 6 字符"/>
    <w:basedOn w:val="17"/>
    <w:link w:val="7"/>
    <w:semiHidden/>
    <w:qFormat/>
    <w:uiPriority w:val="9"/>
    <w:rPr>
      <w:rFonts w:cstheme="majorBidi"/>
      <w:b/>
      <w:bCs/>
      <w:color w:val="366091" w:themeColor="accent1" w:themeShade="BF"/>
    </w:rPr>
  </w:style>
  <w:style w:type="character" w:customStyle="1" w:styleId="24">
    <w:name w:val="标题 7 字符"/>
    <w:basedOn w:val="17"/>
    <w:link w:val="8"/>
    <w:semiHidden/>
    <w:qFormat/>
    <w:uiPriority w:val="9"/>
    <w:rPr>
      <w:rFonts w:cstheme="majorBidi"/>
      <w:b/>
      <w:bCs/>
      <w:color w:val="585858" w:themeColor="text1" w:themeTint="A6"/>
    </w:rPr>
  </w:style>
  <w:style w:type="character" w:customStyle="1" w:styleId="25">
    <w:name w:val="标题 8 字符"/>
    <w:basedOn w:val="17"/>
    <w:link w:val="9"/>
    <w:semiHidden/>
    <w:qFormat/>
    <w:uiPriority w:val="9"/>
    <w:rPr>
      <w:rFonts w:cstheme="majorBidi"/>
      <w:color w:val="585858" w:themeColor="text1" w:themeTint="A6"/>
    </w:rPr>
  </w:style>
  <w:style w:type="character" w:customStyle="1" w:styleId="26">
    <w:name w:val="标题 9 字符"/>
    <w:basedOn w:val="17"/>
    <w:link w:val="10"/>
    <w:semiHidden/>
    <w:qFormat/>
    <w:uiPriority w:val="9"/>
    <w:rPr>
      <w:rFonts w:eastAsiaTheme="majorEastAsia" w:cstheme="majorBidi"/>
      <w:color w:val="585858" w:themeColor="text1" w:themeTint="A6"/>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85858" w:themeColor="text1" w:themeTint="A6"/>
      <w:spacing w:val="15"/>
      <w:sz w:val="28"/>
      <w:szCs w:val="28"/>
    </w:rPr>
  </w:style>
  <w:style w:type="paragraph" w:styleId="29">
    <w:name w:val="Quote"/>
    <w:basedOn w:val="1"/>
    <w:next w:val="1"/>
    <w:link w:val="30"/>
    <w:qFormat/>
    <w:uiPriority w:val="29"/>
    <w:pPr>
      <w:spacing w:before="160"/>
      <w:jc w:val="center"/>
    </w:pPr>
    <w:rPr>
      <w:i/>
      <w:iCs/>
      <w:color w:val="3F3F3F" w:themeColor="text1" w:themeTint="BF"/>
    </w:rPr>
  </w:style>
  <w:style w:type="character" w:customStyle="1" w:styleId="30">
    <w:name w:val="引用 字符"/>
    <w:basedOn w:val="17"/>
    <w:link w:val="29"/>
    <w:qFormat/>
    <w:uiPriority w:val="29"/>
    <w:rPr>
      <w:i/>
      <w:iCs/>
      <w:color w:val="3F3F3F" w:themeColor="text1" w:themeTint="BF"/>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366091" w:themeColor="accent1" w:themeShade="BF"/>
    </w:rPr>
  </w:style>
  <w:style w:type="paragraph" w:styleId="33">
    <w:name w:val="Intense Quote"/>
    <w:basedOn w:val="1"/>
    <w:next w:val="1"/>
    <w:link w:val="34"/>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66091" w:themeColor="accent1" w:themeShade="BF"/>
    </w:rPr>
  </w:style>
  <w:style w:type="character" w:customStyle="1" w:styleId="34">
    <w:name w:val="明显引用 字符"/>
    <w:basedOn w:val="17"/>
    <w:link w:val="33"/>
    <w:qFormat/>
    <w:uiPriority w:val="30"/>
    <w:rPr>
      <w:i/>
      <w:iCs/>
      <w:color w:val="366091" w:themeColor="accent1" w:themeShade="BF"/>
    </w:rPr>
  </w:style>
  <w:style w:type="character" w:customStyle="1" w:styleId="35">
    <w:name w:val="明显参考1"/>
    <w:basedOn w:val="17"/>
    <w:qFormat/>
    <w:uiPriority w:val="32"/>
    <w:rPr>
      <w:b/>
      <w:bCs/>
      <w:smallCaps/>
      <w:color w:val="366091"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 w:type="paragraph" w:customStyle="1" w:styleId="38">
    <w:name w:val="正文 New"/>
    <w:basedOn w:val="1"/>
    <w:qFormat/>
    <w:uiPriority w:val="0"/>
    <w:pPr>
      <w:spacing w:after="0"/>
    </w:pPr>
    <w:rPr>
      <w:rFonts w:ascii="Calibri" w:hAnsi="Calibri"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855</Words>
  <Characters>4875</Characters>
  <Lines>40</Lines>
  <Paragraphs>11</Paragraphs>
  <TotalTime>2</TotalTime>
  <ScaleCrop>false</ScaleCrop>
  <LinksUpToDate>false</LinksUpToDate>
  <CharactersWithSpaces>5719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2025-05-31T01:32:00Z</dcterms:created>
  <dc:creator>亚 俞</dc:creator>
  <cp:lastModifiedBy>user</cp:lastModifiedBy>
  <cp:lastPrinted>2026-01-29T09:36:00Z</cp:lastPrinted>
  <dcterms:modified xsi:type="dcterms:W3CDTF">2026-10-10T18:16:36Z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CD4C7D7E1E524BF2BD7B5809DE23B816</vt:lpwstr>
  </property>
</Properties>
</file>