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194BA7">
      <w:pPr>
        <w:keepNext w:val="0"/>
        <w:keepLines w:val="0"/>
        <w:pageBreakBefore w:val="0"/>
        <w:widowControl w:val="0"/>
        <w:numPr>
          <w:ilvl w:val="0"/>
          <w:numId w:val="0"/>
        </w:numPr>
        <w:kinsoku/>
        <w:wordWrap/>
        <w:overflowPunct/>
        <w:topLinePunct w:val="0"/>
        <w:autoSpaceDE/>
        <w:autoSpaceDN/>
        <w:bidi w:val="0"/>
        <w:adjustRightInd/>
        <w:snapToGrid/>
        <w:spacing w:line="570" w:lineRule="exact"/>
        <w:textAlignment w:val="auto"/>
        <w:rPr>
          <w:rFonts w:hint="eastAsia" w:ascii="方正黑体_GBK" w:hAnsi="方正黑体_GBK" w:eastAsia="方正黑体_GBK" w:cs="方正黑体_GBK"/>
          <w:sz w:val="32"/>
          <w:szCs w:val="32"/>
          <w:lang w:val="en-US" w:eastAsia="zh-CN"/>
        </w:rPr>
      </w:pPr>
      <w:bookmarkStart w:id="0" w:name="_GoBack"/>
      <w:r>
        <w:rPr>
          <w:rFonts w:hint="eastAsia" w:ascii="方正黑体_GBK" w:hAnsi="方正黑体_GBK" w:eastAsia="方正黑体_GBK" w:cs="方正黑体_GBK"/>
          <w:sz w:val="32"/>
          <w:szCs w:val="32"/>
          <w:lang w:val="en-US" w:eastAsia="zh-CN"/>
        </w:rPr>
        <w:t>附件2</w:t>
      </w:r>
    </w:p>
    <w:bookmarkEnd w:id="0"/>
    <w:p w14:paraId="3614EA59">
      <w:pPr>
        <w:keepNext w:val="0"/>
        <w:keepLines w:val="0"/>
        <w:pageBreakBefore w:val="0"/>
        <w:widowControl w:val="0"/>
        <w:numPr>
          <w:ilvl w:val="0"/>
          <w:numId w:val="0"/>
        </w:numPr>
        <w:kinsoku/>
        <w:wordWrap/>
        <w:overflowPunct/>
        <w:topLinePunct w:val="0"/>
        <w:autoSpaceDE/>
        <w:autoSpaceDN/>
        <w:bidi w:val="0"/>
        <w:adjustRightInd/>
        <w:snapToGrid/>
        <w:spacing w:line="570" w:lineRule="exact"/>
        <w:textAlignment w:val="auto"/>
        <w:rPr>
          <w:rFonts w:hint="eastAsia" w:ascii="方正小标宋_GBK" w:hAnsi="方正小标宋_GBK" w:eastAsia="方正小标宋_GBK" w:cs="方正小标宋_GBK"/>
          <w:sz w:val="44"/>
          <w:szCs w:val="44"/>
          <w:lang w:eastAsia="zh-CN"/>
        </w:rPr>
      </w:pPr>
    </w:p>
    <w:p w14:paraId="0A7A6050">
      <w:pPr>
        <w:keepNext w:val="0"/>
        <w:keepLines w:val="0"/>
        <w:pageBreakBefore w:val="0"/>
        <w:widowControl w:val="0"/>
        <w:numPr>
          <w:ilvl w:val="0"/>
          <w:numId w:val="0"/>
        </w:numPr>
        <w:kinsoku/>
        <w:wordWrap/>
        <w:overflowPunct/>
        <w:topLinePunct w:val="0"/>
        <w:autoSpaceDE/>
        <w:autoSpaceDN/>
        <w:bidi w:val="0"/>
        <w:adjustRightInd/>
        <w:snapToGrid/>
        <w:spacing w:line="57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lang w:val="en-US" w:eastAsia="zh-CN"/>
        </w:rPr>
        <w:t>三级医院评审标准（精神专科2026年版）</w:t>
      </w:r>
    </w:p>
    <w:p w14:paraId="0C36972F">
      <w:pPr>
        <w:keepNext w:val="0"/>
        <w:keepLines w:val="0"/>
        <w:pageBreakBefore w:val="0"/>
        <w:widowControl w:val="0"/>
        <w:numPr>
          <w:ilvl w:val="0"/>
          <w:numId w:val="0"/>
        </w:numPr>
        <w:kinsoku/>
        <w:wordWrap/>
        <w:overflowPunct/>
        <w:topLinePunct w:val="0"/>
        <w:autoSpaceDE/>
        <w:autoSpaceDN/>
        <w:bidi w:val="0"/>
        <w:adjustRightInd/>
        <w:snapToGrid/>
        <w:spacing w:line="57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_GBK" w:hAnsi="方正小标宋_GBK" w:eastAsia="方正小标宋_GBK" w:cs="方正小标宋_GBK"/>
          <w:sz w:val="44"/>
          <w:szCs w:val="44"/>
          <w:lang w:val="en-US" w:eastAsia="zh-CN"/>
        </w:rPr>
        <w:t>云南省实施细则(试行)</w:t>
      </w:r>
      <w:r>
        <w:rPr>
          <w:rFonts w:hint="eastAsia" w:ascii="方正小标宋_GBK" w:hAnsi="方正小标宋_GBK" w:eastAsia="方正小标宋_GBK" w:cs="方正小标宋_GBK"/>
          <w:sz w:val="44"/>
          <w:szCs w:val="44"/>
          <w:lang w:eastAsia="zh-CN"/>
        </w:rPr>
        <w:t>》</w:t>
      </w:r>
      <w:r>
        <w:rPr>
          <w:rFonts w:hint="eastAsia" w:ascii="方正小标宋_GBK" w:hAnsi="方正小标宋_GBK" w:eastAsia="方正小标宋_GBK" w:cs="方正小标宋_GBK"/>
          <w:sz w:val="44"/>
          <w:szCs w:val="44"/>
          <w:lang w:val="en-US" w:eastAsia="zh-CN"/>
        </w:rPr>
        <w:t>前置条件</w:t>
      </w:r>
    </w:p>
    <w:p w14:paraId="13836E59">
      <w:pPr>
        <w:keepNext w:val="0"/>
        <w:keepLines w:val="0"/>
        <w:pageBreakBefore w:val="0"/>
        <w:widowControl w:val="0"/>
        <w:kinsoku/>
        <w:wordWrap/>
        <w:overflowPunct/>
        <w:topLinePunct w:val="0"/>
        <w:autoSpaceDE/>
        <w:autoSpaceDN/>
        <w:bidi w:val="0"/>
        <w:adjustRightInd/>
        <w:snapToGrid w:val="0"/>
        <w:spacing w:line="570" w:lineRule="exact"/>
        <w:ind w:left="0" w:leftChars="0" w:right="0" w:rightChars="0" w:firstLine="880" w:firstLineChars="200"/>
        <w:jc w:val="both"/>
        <w:textAlignment w:val="baseline"/>
        <w:outlineLvl w:val="1"/>
        <w:rPr>
          <w:rFonts w:hint="eastAsia" w:ascii="方正黑体_GBK" w:hAnsi="方正黑体_GBK" w:eastAsia="方正黑体_GBK" w:cs="方正黑体_GBK"/>
          <w:bCs/>
          <w:color w:val="000000"/>
          <w:sz w:val="44"/>
          <w:szCs w:val="44"/>
        </w:rPr>
      </w:pPr>
    </w:p>
    <w:p w14:paraId="5F440311">
      <w:pPr>
        <w:keepNext w:val="0"/>
        <w:keepLines w:val="0"/>
        <w:pageBreakBefore w:val="0"/>
        <w:widowControl w:val="0"/>
        <w:kinsoku/>
        <w:wordWrap/>
        <w:overflowPunct/>
        <w:topLinePunct w:val="0"/>
        <w:autoSpaceDE/>
        <w:autoSpaceDN/>
        <w:bidi w:val="0"/>
        <w:adjustRightInd/>
        <w:snapToGrid w:val="0"/>
        <w:spacing w:line="570" w:lineRule="exact"/>
        <w:ind w:left="0" w:leftChars="0" w:right="0" w:rightChars="0" w:firstLine="640" w:firstLineChars="200"/>
        <w:jc w:val="both"/>
        <w:textAlignment w:val="baseline"/>
        <w:outlineLvl w:val="1"/>
        <w:rPr>
          <w:rFonts w:hint="eastAsia" w:ascii="方正黑体_GBK" w:hAnsi="方正黑体_GBK" w:eastAsia="方正黑体_GBK" w:cs="方正黑体_GBK"/>
          <w:bCs/>
          <w:color w:val="000000"/>
          <w:kern w:val="0"/>
          <w:sz w:val="32"/>
          <w:szCs w:val="22"/>
        </w:rPr>
      </w:pPr>
      <w:r>
        <w:rPr>
          <w:rFonts w:hint="eastAsia" w:ascii="方正黑体_GBK" w:hAnsi="方正黑体_GBK" w:eastAsia="方正黑体_GBK" w:cs="方正黑体_GBK"/>
          <w:bCs/>
          <w:color w:val="000000"/>
          <w:kern w:val="0"/>
          <w:sz w:val="32"/>
          <w:szCs w:val="22"/>
        </w:rPr>
        <w:t>一、床位规模和科室设置</w:t>
      </w:r>
    </w:p>
    <w:p w14:paraId="561CA493">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z w:val="32"/>
          <w:szCs w:val="32"/>
          <w:lang w:val="en-US" w:eastAsia="zh-CN" w:bidi="ar-SA"/>
        </w:rPr>
        <w:t>（一）</w:t>
      </w:r>
      <w:r>
        <w:rPr>
          <w:rFonts w:hint="eastAsia" w:ascii="方正仿宋_GBK" w:hAnsi="方正仿宋_GBK" w:eastAsia="方正仿宋_GBK" w:cs="方正仿宋_GBK"/>
          <w:color w:val="000000"/>
          <w:sz w:val="32"/>
          <w:szCs w:val="32"/>
          <w:lang w:val="en-US" w:eastAsia="zh-CN" w:bidi="ar-SA"/>
        </w:rPr>
        <w:t>未达到《医疗机构管理条例》及其实施细则、医疗机构基本标准所要求的条件。</w:t>
      </w:r>
    </w:p>
    <w:p w14:paraId="447D127E">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z w:val="32"/>
          <w:szCs w:val="32"/>
          <w:lang w:val="en-US" w:eastAsia="zh-CN" w:bidi="ar-SA"/>
        </w:rPr>
        <w:t>（二）</w:t>
      </w:r>
      <w:r>
        <w:rPr>
          <w:rFonts w:hint="eastAsia" w:ascii="方正仿宋_GBK" w:hAnsi="方正仿宋_GBK" w:eastAsia="方正仿宋_GBK" w:cs="方正仿宋_GBK"/>
          <w:color w:val="000000"/>
          <w:sz w:val="32"/>
          <w:szCs w:val="32"/>
          <w:lang w:val="en-US" w:eastAsia="zh-CN" w:bidi="ar-SA"/>
        </w:rPr>
        <w:t>三级精神专科医院未按规定设置公共卫生科或者预防保健科等直接从事疾病预防控制工作的科室。</w:t>
      </w:r>
    </w:p>
    <w:p w14:paraId="40E95F1D">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z w:val="32"/>
          <w:szCs w:val="32"/>
          <w:lang w:val="en-US" w:eastAsia="zh-CN" w:bidi="ar-SA"/>
        </w:rPr>
        <w:t>（三）</w:t>
      </w:r>
      <w:r>
        <w:rPr>
          <w:rFonts w:hint="eastAsia" w:ascii="方正仿宋_GBK" w:hAnsi="方正仿宋_GBK" w:eastAsia="方正仿宋_GBK" w:cs="方正仿宋_GBK"/>
          <w:color w:val="000000"/>
          <w:sz w:val="32"/>
          <w:szCs w:val="32"/>
          <w:lang w:val="en-US" w:eastAsia="zh-CN" w:bidi="ar-SA"/>
        </w:rPr>
        <w:t>在评审标准发布后，违反医疗机构设置规划和《关于规范公立医院分院区管理的通知》，新增规模导致总床位数、单体院区床位数、分院区数量超标的，不予评审。在评审标准发布前，医院的总床位数、单体院区床位数、分院区数量超标的，应当经省级卫生健康行政部门评估后，视情参加或不予评审。</w:t>
      </w:r>
    </w:p>
    <w:p w14:paraId="5C0532FF">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z w:val="32"/>
          <w:szCs w:val="32"/>
          <w:lang w:val="en-US" w:eastAsia="zh-CN" w:bidi="ar-SA"/>
        </w:rPr>
        <w:t>（四）</w:t>
      </w:r>
      <w:r>
        <w:rPr>
          <w:rFonts w:hint="eastAsia" w:ascii="方正仿宋_GBK" w:hAnsi="方正仿宋_GBK" w:eastAsia="方正仿宋_GBK" w:cs="方正仿宋_GBK"/>
          <w:color w:val="000000"/>
          <w:sz w:val="32"/>
          <w:szCs w:val="32"/>
          <w:lang w:val="en-US" w:eastAsia="zh-CN" w:bidi="ar-SA"/>
        </w:rPr>
        <w:t>未落实医疗机构疾病预防控制责任，未在公立医院设立专兼职疾控监督员。</w:t>
      </w:r>
    </w:p>
    <w:p w14:paraId="51785BB2">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outlineLvl w:val="1"/>
        <w:rPr>
          <w:rFonts w:hint="eastAsia" w:ascii="方正黑体_GBK" w:hAnsi="方正黑体_GBK" w:eastAsia="方正黑体_GBK" w:cs="方正黑体_GBK"/>
          <w:color w:val="000000"/>
          <w:sz w:val="32"/>
          <w:szCs w:val="32"/>
          <w:lang w:val="en-US" w:eastAsia="zh-CN" w:bidi="ar-SA"/>
        </w:rPr>
      </w:pPr>
      <w:r>
        <w:rPr>
          <w:rFonts w:hint="eastAsia" w:ascii="方正黑体_GBK" w:hAnsi="方正黑体_GBK" w:eastAsia="方正黑体_GBK" w:cs="方正黑体_GBK"/>
          <w:bCs/>
          <w:color w:val="000000"/>
          <w:sz w:val="32"/>
          <w:szCs w:val="22"/>
          <w:lang w:val="en-US" w:eastAsia="zh-CN" w:bidi="ar-SA"/>
        </w:rPr>
        <w:t>二、依法执业和规范服务</w:t>
      </w:r>
    </w:p>
    <w:p w14:paraId="05677F58">
      <w:pPr>
        <w:widowControl w:val="0"/>
        <w:autoSpaceDE/>
        <w:autoSpaceDN/>
        <w:snapToGrid w:val="0"/>
        <w:spacing w:before="0"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（一）</w:t>
      </w:r>
      <w:r>
        <w:rPr>
          <w:rFonts w:hint="eastAsia" w:ascii="方正仿宋_GBK" w:hAnsi="方正仿宋_GBK" w:eastAsia="方正仿宋_GBK" w:cs="方正仿宋_GBK"/>
          <w:color w:val="000000"/>
          <w:spacing w:val="0"/>
          <w:sz w:val="32"/>
          <w:szCs w:val="32"/>
          <w:lang w:val="en-US" w:eastAsia="zh-CN" w:bidi="ar-SA"/>
        </w:rPr>
        <w:t>违反《中华人民共和国基本医疗卫生与健康促进法》《医疗机构管理条例》，伪造、变造、买卖、出租、出借《医疗机构执业许可证》；医院命名不符合《医疗机构管理条例实施细则》等有关规定，未按时校验、拒不校验或有暂缓校验记录，诊疗活动超出诊疗科目登记范围；政府举办的医疗卫生机构与其他组织投资设立非独立法人资格的医疗卫生机构，与社会资本合作举办营利性医疗卫生机构；医疗卫生机构对外出租、承包医疗科室；公立医院承包、出租药房，向营利性企业托管药房，以任何形式开设营利性药店；非营利性医疗卫生机构向出资人、举办者分配或变相分配收益。</w:t>
      </w:r>
    </w:p>
    <w:p w14:paraId="10BF4BE4">
      <w:pPr>
        <w:widowControl w:val="0"/>
        <w:autoSpaceDE/>
        <w:autoSpaceDN/>
        <w:snapToGrid w:val="0"/>
        <w:spacing w:before="0"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（二）</w:t>
      </w:r>
      <w:r>
        <w:rPr>
          <w:rFonts w:hint="eastAsia" w:ascii="方正仿宋_GBK" w:hAnsi="方正仿宋_GBK" w:eastAsia="方正仿宋_GBK" w:cs="方正仿宋_GBK"/>
          <w:color w:val="000000"/>
          <w:spacing w:val="0"/>
          <w:sz w:val="32"/>
          <w:szCs w:val="32"/>
          <w:lang w:val="en-US" w:eastAsia="zh-CN" w:bidi="ar-SA"/>
        </w:rPr>
        <w:t>违反《中华人民共和国医师法》《医疗机构管理条例》《护 士条例》，使用非卫生技术人员从事医疗卫生技术工作。</w:t>
      </w:r>
    </w:p>
    <w:p w14:paraId="4CE74C23">
      <w:pPr>
        <w:widowControl w:val="0"/>
        <w:autoSpaceDE/>
        <w:autoSpaceDN/>
        <w:snapToGrid w:val="0"/>
        <w:spacing w:before="0"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（三）</w:t>
      </w:r>
      <w:r>
        <w:rPr>
          <w:rFonts w:hint="eastAsia" w:ascii="方正仿宋_GBK" w:hAnsi="方正仿宋_GBK" w:eastAsia="方正仿宋_GBK" w:cs="方正仿宋_GBK"/>
          <w:color w:val="000000"/>
          <w:spacing w:val="0"/>
          <w:sz w:val="32"/>
          <w:szCs w:val="32"/>
          <w:lang w:val="en-US" w:eastAsia="zh-CN" w:bidi="ar-SA"/>
        </w:rPr>
        <w:t>违反《中华人民共和国药品管理法》《医疗器械监督管理条例》，违法违规采购或使用药品、设备、器械、耗材开展诊疗活动，造成严重后果；未经许可配置使用需要准入审批的大型医用设备。</w:t>
      </w:r>
    </w:p>
    <w:p w14:paraId="2FC83072">
      <w:pPr>
        <w:widowControl w:val="0"/>
        <w:autoSpaceDE/>
        <w:autoSpaceDN/>
        <w:snapToGrid w:val="0"/>
        <w:spacing w:before="0"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（四）</w:t>
      </w:r>
      <w:r>
        <w:rPr>
          <w:rFonts w:hint="eastAsia" w:ascii="方正仿宋_GBK" w:hAnsi="方正仿宋_GBK" w:eastAsia="方正仿宋_GBK" w:cs="方正仿宋_GBK"/>
          <w:color w:val="000000"/>
          <w:spacing w:val="0"/>
          <w:sz w:val="32"/>
          <w:szCs w:val="32"/>
          <w:lang w:val="en-US" w:eastAsia="zh-CN" w:bidi="ar-SA"/>
        </w:rPr>
        <w:t>违反《中华人民共和国母婴保健法》，未取得母婴保健技术服务执业许可证开展相关母婴保健技术。</w:t>
      </w:r>
    </w:p>
    <w:p w14:paraId="5D92E3D0">
      <w:pPr>
        <w:widowControl w:val="0"/>
        <w:autoSpaceDE/>
        <w:autoSpaceDN/>
        <w:snapToGrid w:val="0"/>
        <w:spacing w:before="0"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（五）</w:t>
      </w:r>
      <w:r>
        <w:rPr>
          <w:rFonts w:hint="eastAsia" w:ascii="方正仿宋_GBK" w:hAnsi="方正仿宋_GBK" w:eastAsia="方正仿宋_GBK" w:cs="方正仿宋_GBK"/>
          <w:color w:val="000000"/>
          <w:spacing w:val="0"/>
          <w:sz w:val="32"/>
          <w:szCs w:val="32"/>
          <w:lang w:val="en-US" w:eastAsia="zh-CN" w:bidi="ar-SA"/>
        </w:rPr>
        <w:t>违反《人体器官捐献和移植条例》，买卖人体器官或者从事与买卖人体器官有关的活动，未经许可开展人体器官获取与移</w:t>
      </w:r>
      <w:r>
        <w:rPr>
          <w:rFonts w:hint="eastAsia" w:ascii="方正仿宋_GBK" w:hAnsi="方正仿宋_GBK" w:eastAsia="方正仿宋_GBK" w:cs="方正仿宋_GBK"/>
          <w:b w:val="0"/>
          <w:bCs w:val="0"/>
          <w:color w:val="000000"/>
          <w:spacing w:val="0"/>
          <w:sz w:val="32"/>
          <w:szCs w:val="32"/>
          <w:lang w:val="en-US" w:eastAsia="zh-CN" w:bidi="ar-SA"/>
        </w:rPr>
        <w:t>植技术。</w:t>
      </w:r>
    </w:p>
    <w:p w14:paraId="28F4C6B9">
      <w:pPr>
        <w:widowControl w:val="0"/>
        <w:autoSpaceDE/>
        <w:autoSpaceDN/>
        <w:snapToGrid w:val="0"/>
        <w:spacing w:before="0"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（六）</w:t>
      </w:r>
      <w:r>
        <w:rPr>
          <w:rFonts w:hint="eastAsia" w:ascii="方正仿宋_GBK" w:hAnsi="方正仿宋_GBK" w:eastAsia="方正仿宋_GBK" w:cs="方正仿宋_GBK"/>
          <w:color w:val="000000"/>
          <w:spacing w:val="0"/>
          <w:sz w:val="32"/>
          <w:szCs w:val="32"/>
          <w:lang w:val="en-US" w:eastAsia="zh-CN" w:bidi="ar-SA"/>
        </w:rPr>
        <w:t>违反《中华人民共和国献血法》，非法采集血液，非法组织他人出卖血液，出售无偿献血的血液。</w:t>
      </w:r>
    </w:p>
    <w:p w14:paraId="3F1BF83A">
      <w:pPr>
        <w:widowControl w:val="0"/>
        <w:autoSpaceDE/>
        <w:autoSpaceDN/>
        <w:snapToGrid w:val="0"/>
        <w:spacing w:before="0"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（七）</w:t>
      </w:r>
      <w:r>
        <w:rPr>
          <w:rFonts w:hint="eastAsia" w:ascii="方正仿宋_GBK" w:hAnsi="方正仿宋_GBK" w:eastAsia="方正仿宋_GBK" w:cs="方正仿宋_GBK"/>
          <w:color w:val="000000"/>
          <w:spacing w:val="0"/>
          <w:sz w:val="32"/>
          <w:szCs w:val="32"/>
          <w:lang w:val="en-US" w:eastAsia="zh-CN" w:bidi="ar-SA"/>
        </w:rPr>
        <w:t>违反《中华人民共和国传染病防治法》《中华人民共和国生物安全法》《中华人民共和国食品安全法》《突发公共卫生事件应急条例》，造成传染病传播、流行或其他严重后果；或其他重大违法违规事件，造成严重后果或情节严重；设立病原微生物实验室未依法取得批准或者进行备案；卫生健康行政部门或监督执法机构近两年来对其进行传染病防治分类监督综合评价为重点监督单位(以两年来最近一次评价结果为准)；未依法履行传染病、食源性疾病报告等法定职责，造成严重后果。</w:t>
      </w:r>
    </w:p>
    <w:p w14:paraId="0B054936">
      <w:pPr>
        <w:widowControl w:val="0"/>
        <w:autoSpaceDE/>
        <w:autoSpaceDN/>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（八）</w:t>
      </w:r>
      <w:r>
        <w:rPr>
          <w:rFonts w:hint="eastAsia" w:ascii="方正仿宋_GBK" w:hAnsi="方正仿宋_GBK" w:eastAsia="方正仿宋_GBK" w:cs="方正仿宋_GBK"/>
          <w:color w:val="000000"/>
          <w:spacing w:val="0"/>
          <w:sz w:val="32"/>
          <w:szCs w:val="32"/>
          <w:lang w:val="en-US" w:eastAsia="zh-CN" w:bidi="ar-SA"/>
        </w:rPr>
        <w:t>违反《医疗纠纷预防和处理条例》《医疗事故处理条例》， 篡改、伪造、隐匿、毁灭病历资料，造成严重后果。</w:t>
      </w:r>
    </w:p>
    <w:p w14:paraId="6A9EE430">
      <w:pPr>
        <w:widowControl w:val="0"/>
        <w:autoSpaceDE/>
        <w:autoSpaceDN/>
        <w:snapToGrid w:val="0"/>
        <w:spacing w:before="0"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（九）</w:t>
      </w:r>
      <w:r>
        <w:rPr>
          <w:rFonts w:hint="eastAsia" w:ascii="方正仿宋_GBK" w:hAnsi="方正仿宋_GBK" w:eastAsia="方正仿宋_GBK" w:cs="方正仿宋_GBK"/>
          <w:color w:val="000000"/>
          <w:spacing w:val="0"/>
          <w:sz w:val="32"/>
          <w:szCs w:val="32"/>
          <w:lang w:val="en-US" w:eastAsia="zh-CN" w:bidi="ar-SA"/>
        </w:rPr>
        <w:t>违反《医疗技术临床应用管理办法》，将未通过技术评估与伦理审查的医疗新技术、禁止类医疗技术应用于临床，造成严重后果。</w:t>
      </w:r>
    </w:p>
    <w:p w14:paraId="6827DAF6">
      <w:pPr>
        <w:widowControl w:val="0"/>
        <w:autoSpaceDE/>
        <w:autoSpaceDN/>
        <w:snapToGrid w:val="0"/>
        <w:spacing w:before="0"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（十）</w:t>
      </w:r>
      <w:r>
        <w:rPr>
          <w:rFonts w:hint="eastAsia" w:ascii="方正仿宋_GBK" w:hAnsi="方正仿宋_GBK" w:eastAsia="方正仿宋_GBK" w:cs="方正仿宋_GBK"/>
          <w:color w:val="000000"/>
          <w:spacing w:val="0"/>
          <w:sz w:val="32"/>
          <w:szCs w:val="32"/>
          <w:lang w:val="en-US" w:eastAsia="zh-CN" w:bidi="ar-SA"/>
        </w:rPr>
        <w:t>违反《麻醉药品和精神药品管理条例》《易制毒化学品管理条例》《处方管理办法》，违规购买、储存、调剂、开具、登记、销毁麻醉药品和第一类精神药品，使用未取得处方权的人员或被取消</w:t>
      </w:r>
      <w:r>
        <w:rPr>
          <w:rFonts w:hint="eastAsia" w:ascii="方正仿宋_GBK" w:hAnsi="方正仿宋_GBK" w:eastAsia="方正仿宋_GBK" w:cs="方正仿宋_GBK"/>
          <w:color w:val="000000"/>
          <w:sz w:val="32"/>
          <w:szCs w:val="32"/>
          <w:lang w:val="en-US" w:eastAsia="zh-CN" w:bidi="ar-SA"/>
        </w:rPr>
        <w:t xml:space="preserve"> </w:t>
      </w:r>
      <w:r>
        <w:rPr>
          <w:rFonts w:hint="eastAsia" w:ascii="方正仿宋_GBK" w:hAnsi="方正仿宋_GBK" w:eastAsia="方正仿宋_GBK" w:cs="方正仿宋_GBK"/>
          <w:color w:val="000000"/>
          <w:spacing w:val="0"/>
          <w:sz w:val="32"/>
          <w:szCs w:val="32"/>
          <w:lang w:val="en-US" w:eastAsia="zh-CN" w:bidi="ar-SA"/>
        </w:rPr>
        <w:t>处方权的医师开具处方，造成严重后果。</w:t>
      </w:r>
    </w:p>
    <w:p w14:paraId="17522A06">
      <w:pPr>
        <w:widowControl w:val="0"/>
        <w:autoSpaceDE/>
        <w:autoSpaceDN/>
        <w:snapToGrid w:val="0"/>
        <w:spacing w:before="0"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（十一）</w:t>
      </w:r>
      <w:r>
        <w:rPr>
          <w:rFonts w:hint="eastAsia" w:ascii="方正仿宋_GBK" w:hAnsi="方正仿宋_GBK" w:eastAsia="方正仿宋_GBK" w:cs="方正仿宋_GBK"/>
          <w:color w:val="000000"/>
          <w:spacing w:val="0"/>
          <w:sz w:val="32"/>
          <w:szCs w:val="32"/>
          <w:lang w:val="en-US" w:eastAsia="zh-CN" w:bidi="ar-SA"/>
        </w:rPr>
        <w:t>违反《放射诊疗管理规定》，未取得放射诊疗许可从事放射诊疗工作或未履行其他法定职责，造成严重后果。</w:t>
      </w:r>
    </w:p>
    <w:p w14:paraId="640A219C">
      <w:pPr>
        <w:widowControl w:val="0"/>
        <w:autoSpaceDE/>
        <w:autoSpaceDN/>
        <w:snapToGrid w:val="0"/>
        <w:spacing w:before="0"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（十二）</w:t>
      </w:r>
      <w:r>
        <w:rPr>
          <w:rFonts w:hint="eastAsia" w:ascii="方正仿宋_GBK" w:hAnsi="方正仿宋_GBK" w:eastAsia="方正仿宋_GBK" w:cs="方正仿宋_GBK"/>
          <w:color w:val="000000"/>
          <w:spacing w:val="0"/>
          <w:sz w:val="32"/>
          <w:szCs w:val="32"/>
          <w:lang w:val="en-US" w:eastAsia="zh-CN" w:bidi="ar-SA"/>
        </w:rPr>
        <w:t>违反《中华人民共和国职业病防治法》，未依法开展职业健康检查或职业病诊断、未依法履行职业病与疑似职业病报告等法定职责，造成严重后果。</w:t>
      </w:r>
    </w:p>
    <w:p w14:paraId="1DAFACCD">
      <w:pPr>
        <w:widowControl w:val="0"/>
        <w:autoSpaceDE/>
        <w:autoSpaceDN/>
        <w:snapToGrid w:val="0"/>
        <w:spacing w:before="0" w:line="570" w:lineRule="exact"/>
        <w:ind w:right="0" w:rightChars="0" w:firstLine="640" w:firstLineChars="200"/>
        <w:jc w:val="both"/>
        <w:textAlignment w:val="baseline"/>
        <w:rPr>
          <w:rFonts w:hint="eastAsia" w:ascii="方正仿宋_GBK" w:hAnsi="方正仿宋_GBK" w:eastAsia="方正仿宋_GBK" w:cs="方正仿宋_GBK"/>
          <w:color w:val="auto"/>
          <w:sz w:val="32"/>
          <w:szCs w:val="32"/>
          <w:highlight w:val="none"/>
          <w:lang w:val="en-US" w:eastAsia="zh-CN" w:bidi="ar-SA"/>
        </w:rPr>
      </w:pPr>
      <w:r>
        <w:rPr>
          <w:rFonts w:hint="eastAsia" w:ascii="方正楷体_GBK" w:hAnsi="方正楷体_GBK" w:eastAsia="方正楷体_GBK" w:cs="方正楷体_GBK"/>
          <w:color w:val="000000"/>
          <w:spacing w:val="0"/>
          <w:sz w:val="32"/>
          <w:szCs w:val="32"/>
          <w:lang w:val="en-US" w:eastAsia="zh-CN" w:bidi="ar-SA"/>
        </w:rPr>
        <w:t>（十三）</w:t>
      </w:r>
      <w:r>
        <w:rPr>
          <w:rFonts w:hint="eastAsia" w:ascii="方正仿宋_GBK" w:hAnsi="方正仿宋_GBK" w:eastAsia="方正仿宋_GBK" w:cs="方正仿宋_GBK"/>
          <w:color w:val="000000"/>
          <w:spacing w:val="0"/>
          <w:sz w:val="32"/>
          <w:szCs w:val="32"/>
          <w:lang w:val="en-US" w:eastAsia="zh-CN" w:bidi="ar-SA"/>
        </w:rPr>
        <w:t>违反《中华人民共和国广告法》《医疗广告管理办法》</w:t>
      </w:r>
      <w:r>
        <w:rPr>
          <w:rFonts w:hint="eastAsia" w:ascii="方正仿宋_GBK" w:hAnsi="方正仿宋_GBK" w:eastAsia="方正仿宋_GBK" w:cs="方正仿宋_GBK"/>
          <w:color w:val="auto"/>
          <w:spacing w:val="0"/>
          <w:sz w:val="32"/>
          <w:szCs w:val="32"/>
          <w:highlight w:val="none"/>
          <w:lang w:val="en-US" w:eastAsia="zh-CN" w:bidi="ar-SA"/>
        </w:rPr>
        <w:t>，违规发布医疗广告，情节严重。</w:t>
      </w:r>
    </w:p>
    <w:p w14:paraId="12800088">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auto"/>
          <w:sz w:val="32"/>
          <w:szCs w:val="32"/>
          <w:highlight w:val="none"/>
          <w:lang w:val="en-US" w:eastAsia="zh-CN" w:bidi="ar-SA"/>
        </w:rPr>
      </w:pPr>
      <w:r>
        <w:rPr>
          <w:rFonts w:hint="eastAsia" w:ascii="方正楷体_GBK" w:hAnsi="方正楷体_GBK" w:eastAsia="方正楷体_GBK" w:cs="方正楷体_GBK"/>
          <w:color w:val="auto"/>
          <w:spacing w:val="0"/>
          <w:sz w:val="32"/>
          <w:szCs w:val="32"/>
          <w:highlight w:val="none"/>
          <w:lang w:val="en-US" w:eastAsia="zh-CN" w:bidi="ar-SA"/>
        </w:rPr>
        <w:t>（十四）</w:t>
      </w:r>
      <w:r>
        <w:rPr>
          <w:rFonts w:hint="eastAsia" w:ascii="方正仿宋_GBK" w:hAnsi="方正仿宋_GBK" w:eastAsia="方正仿宋_GBK" w:cs="方正仿宋_GBK"/>
          <w:color w:val="auto"/>
          <w:spacing w:val="0"/>
          <w:sz w:val="32"/>
          <w:szCs w:val="32"/>
          <w:highlight w:val="none"/>
          <w:lang w:val="en-US" w:eastAsia="zh-CN" w:bidi="ar-SA"/>
        </w:rPr>
        <w:t>其他从事非法代孕、出具虚假出生医学证明、违规收受红包回扣、泄露患者隐私等违法违规事件，造成严重后果或情节严重。</w:t>
      </w:r>
    </w:p>
    <w:p w14:paraId="548AC6A7">
      <w:pPr>
        <w:keepNext w:val="0"/>
        <w:keepLines w:val="0"/>
        <w:pageBreakBefore w:val="0"/>
        <w:widowControl w:val="0"/>
        <w:kinsoku/>
        <w:wordWrap/>
        <w:overflowPunct/>
        <w:topLinePunct w:val="0"/>
        <w:autoSpaceDE/>
        <w:autoSpaceDN/>
        <w:bidi w:val="0"/>
        <w:adjustRightInd/>
        <w:snapToGrid w:val="0"/>
        <w:spacing w:line="570" w:lineRule="exact"/>
        <w:ind w:left="0" w:leftChars="0" w:right="0" w:rightChars="0" w:firstLine="640" w:firstLineChars="200"/>
        <w:jc w:val="both"/>
        <w:textAlignment w:val="baseline"/>
        <w:outlineLvl w:val="1"/>
        <w:rPr>
          <w:rFonts w:hint="eastAsia" w:ascii="方正黑体_GBK" w:hAnsi="方正黑体_GBK" w:eastAsia="方正黑体_GBK" w:cs="方正黑体_GBK"/>
          <w:bCs/>
          <w:color w:val="auto"/>
          <w:kern w:val="0"/>
          <w:sz w:val="32"/>
          <w:szCs w:val="22"/>
          <w:highlight w:val="none"/>
        </w:rPr>
      </w:pPr>
      <w:r>
        <w:rPr>
          <w:rFonts w:hint="eastAsia" w:ascii="方正黑体_GBK" w:hAnsi="方正黑体_GBK" w:eastAsia="方正黑体_GBK" w:cs="方正黑体_GBK"/>
          <w:bCs/>
          <w:color w:val="auto"/>
          <w:kern w:val="0"/>
          <w:sz w:val="32"/>
          <w:szCs w:val="22"/>
          <w:highlight w:val="none"/>
          <w:lang w:val="en-US" w:eastAsia="zh-CN"/>
        </w:rPr>
        <w:t>三</w:t>
      </w:r>
      <w:r>
        <w:rPr>
          <w:rFonts w:hint="eastAsia" w:ascii="方正黑体_GBK" w:hAnsi="方正黑体_GBK" w:eastAsia="方正黑体_GBK" w:cs="方正黑体_GBK"/>
          <w:bCs/>
          <w:color w:val="auto"/>
          <w:kern w:val="0"/>
          <w:sz w:val="32"/>
          <w:szCs w:val="22"/>
          <w:highlight w:val="none"/>
        </w:rPr>
        <w:t>、党的建设、公益性责任和行风诚信</w:t>
      </w:r>
    </w:p>
    <w:p w14:paraId="0D6CA9FF">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auto"/>
          <w:spacing w:val="0"/>
          <w:sz w:val="32"/>
          <w:szCs w:val="32"/>
          <w:highlight w:val="none"/>
          <w:lang w:val="en-US" w:eastAsia="zh-CN" w:bidi="ar-SA"/>
        </w:rPr>
      </w:pPr>
      <w:r>
        <w:rPr>
          <w:rFonts w:hint="eastAsia" w:ascii="方正楷体_GBK" w:hAnsi="方正楷体_GBK" w:eastAsia="方正楷体_GBK" w:cs="方正楷体_GBK"/>
          <w:color w:val="auto"/>
          <w:sz w:val="32"/>
          <w:szCs w:val="32"/>
          <w:highlight w:val="none"/>
          <w:lang w:val="en-US" w:eastAsia="zh-CN" w:bidi="ar-SA"/>
        </w:rPr>
        <w:t>（一）</w:t>
      </w:r>
      <w:r>
        <w:rPr>
          <w:rFonts w:hint="eastAsia" w:ascii="方正仿宋_GBK" w:hAnsi="方正仿宋_GBK" w:eastAsia="方正仿宋_GBK" w:cs="方正仿宋_GBK"/>
          <w:color w:val="auto"/>
          <w:sz w:val="32"/>
          <w:szCs w:val="32"/>
          <w:highlight w:val="none"/>
          <w:lang w:val="en-US" w:eastAsia="zh-CN" w:bidi="ar-SA"/>
        </w:rPr>
        <w:t>严格落实党委领导下的院长负责制和内设机构党支部参与科室重大问题决策制度。</w:t>
      </w:r>
    </w:p>
    <w:p w14:paraId="079A6212">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auto"/>
          <w:sz w:val="32"/>
          <w:szCs w:val="32"/>
          <w:highlight w:val="none"/>
          <w:lang w:val="en-US" w:eastAsia="zh-CN" w:bidi="ar-SA"/>
        </w:rPr>
      </w:pPr>
      <w:r>
        <w:rPr>
          <w:rFonts w:hint="eastAsia" w:ascii="方正楷体_GBK" w:hAnsi="方正楷体_GBK" w:eastAsia="方正楷体_GBK" w:cs="方正楷体_GBK"/>
          <w:color w:val="auto"/>
          <w:spacing w:val="0"/>
          <w:sz w:val="32"/>
          <w:szCs w:val="32"/>
          <w:highlight w:val="none"/>
          <w:lang w:val="en-US" w:eastAsia="zh-CN" w:bidi="ar-SA"/>
        </w:rPr>
        <w:t>（二）</w:t>
      </w:r>
      <w:r>
        <w:rPr>
          <w:rFonts w:hint="eastAsia" w:ascii="方正仿宋_GBK" w:hAnsi="方正仿宋_GBK" w:eastAsia="方正仿宋_GBK" w:cs="方正仿宋_GBK"/>
          <w:color w:val="auto"/>
          <w:sz w:val="32"/>
          <w:szCs w:val="32"/>
          <w:highlight w:val="none"/>
          <w:lang w:val="en-US" w:eastAsia="zh-CN" w:bidi="ar-SA"/>
        </w:rPr>
        <w:t xml:space="preserve">应当完成而未完成对口支援、组团帮扶、巡回医疗、援外医疗、突发公共事件医疗救援、公共卫生任务等政府指令性工作。 </w:t>
      </w:r>
    </w:p>
    <w:p w14:paraId="7A95A585">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auto"/>
          <w:spacing w:val="0"/>
          <w:sz w:val="32"/>
          <w:szCs w:val="32"/>
          <w:highlight w:val="none"/>
          <w:lang w:val="en-US" w:eastAsia="zh-CN" w:bidi="ar-SA"/>
        </w:rPr>
        <w:t>（三）</w:t>
      </w:r>
      <w:r>
        <w:rPr>
          <w:rFonts w:hint="eastAsia" w:ascii="方正仿宋_GBK" w:hAnsi="方正仿宋_GBK" w:eastAsia="方正仿宋_GBK" w:cs="方正仿宋_GBK"/>
          <w:color w:val="auto"/>
          <w:sz w:val="32"/>
          <w:szCs w:val="32"/>
          <w:highlight w:val="none"/>
          <w:lang w:val="en-US" w:eastAsia="zh-CN" w:bidi="ar-SA"/>
        </w:rPr>
        <w:t>应当执行而未执行</w:t>
      </w:r>
      <w:r>
        <w:rPr>
          <w:rFonts w:hint="eastAsia" w:ascii="方正仿宋_GBK" w:hAnsi="方正仿宋_GBK" w:eastAsia="方正仿宋_GBK" w:cs="方正仿宋_GBK"/>
          <w:color w:val="000000"/>
          <w:sz w:val="32"/>
          <w:szCs w:val="32"/>
          <w:lang w:val="en-US" w:eastAsia="zh-CN" w:bidi="ar-SA"/>
        </w:rPr>
        <w:t xml:space="preserve">国家基本药物制度和分级诊疗政策。 </w:t>
      </w:r>
    </w:p>
    <w:p w14:paraId="706EB3AB">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highlight w:val="none"/>
          <w:lang w:val="en-US" w:eastAsia="zh-CN" w:bidi="ar-SA"/>
        </w:rPr>
        <w:t>（四）</w:t>
      </w:r>
      <w:r>
        <w:rPr>
          <w:rFonts w:hint="eastAsia" w:ascii="方正仿宋_GBK" w:hAnsi="方正仿宋_GBK" w:eastAsia="方正仿宋_GBK" w:cs="方正仿宋_GBK"/>
          <w:color w:val="000000"/>
          <w:sz w:val="32"/>
          <w:szCs w:val="32"/>
          <w:lang w:val="en-US" w:eastAsia="zh-CN" w:bidi="ar-SA"/>
        </w:rPr>
        <w:t>医院领导班子发生1起以上严重职务犯罪或严重违纪事件，或医务人员发生3起以上违反《医疗机构工作人员廉洁从业九项准则》的群体性事件(≥3人/起)，造成重大社会影响。</w:t>
      </w:r>
    </w:p>
    <w:p w14:paraId="493C9FA8">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highlight w:val="none"/>
          <w:lang w:val="en-US" w:eastAsia="zh-CN" w:bidi="ar-SA"/>
        </w:rPr>
        <w:t>（五）</w:t>
      </w:r>
      <w:r>
        <w:rPr>
          <w:rFonts w:hint="eastAsia" w:ascii="方正仿宋_GBK" w:hAnsi="方正仿宋_GBK" w:eastAsia="方正仿宋_GBK" w:cs="方正仿宋_GBK"/>
          <w:color w:val="000000"/>
          <w:sz w:val="32"/>
          <w:szCs w:val="32"/>
          <w:lang w:val="en-US" w:eastAsia="zh-CN" w:bidi="ar-SA"/>
        </w:rPr>
        <w:t>未按照《中华人民共和国预算法》等法律法规相关要求加强医院财务和收支管理，出现经济运行风险并造成严重后果；发生重大价格或收费违法事件，以及恶意骗取医保基金。</w:t>
      </w:r>
    </w:p>
    <w:p w14:paraId="54804D82">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highlight w:val="none"/>
          <w:lang w:val="en-US" w:eastAsia="zh-CN" w:bidi="ar-SA"/>
        </w:rPr>
        <w:t>（六）</w:t>
      </w:r>
      <w:r>
        <w:rPr>
          <w:rFonts w:hint="eastAsia" w:ascii="方正仿宋_GBK" w:hAnsi="方正仿宋_GBK" w:eastAsia="方正仿宋_GBK" w:cs="方正仿宋_GBK"/>
          <w:color w:val="000000"/>
          <w:sz w:val="32"/>
          <w:szCs w:val="32"/>
          <w:lang w:val="en-US" w:eastAsia="zh-CN" w:bidi="ar-SA"/>
        </w:rPr>
        <w:t>违反《中华人民共和国统计法》《医疗质量管理办法》《医学科研诚信和相关行为规范》相关要求，提供、报告虚假住院病案首页等医疗服务信息、统计数据、申报材料和科研成果，情节严重。</w:t>
      </w:r>
    </w:p>
    <w:p w14:paraId="19DDC030">
      <w:pPr>
        <w:keepNext w:val="0"/>
        <w:keepLines w:val="0"/>
        <w:pageBreakBefore w:val="0"/>
        <w:widowControl w:val="0"/>
        <w:kinsoku/>
        <w:wordWrap/>
        <w:overflowPunct/>
        <w:topLinePunct w:val="0"/>
        <w:autoSpaceDE/>
        <w:autoSpaceDN/>
        <w:bidi w:val="0"/>
        <w:adjustRightInd/>
        <w:snapToGrid w:val="0"/>
        <w:spacing w:line="570" w:lineRule="exact"/>
        <w:ind w:left="0" w:leftChars="0" w:right="0" w:rightChars="0" w:firstLine="640" w:firstLineChars="200"/>
        <w:jc w:val="both"/>
        <w:textAlignment w:val="baseline"/>
        <w:outlineLvl w:val="1"/>
        <w:rPr>
          <w:rFonts w:hint="eastAsia" w:ascii="方正黑体_GBK" w:hAnsi="方正黑体_GBK" w:eastAsia="方正黑体_GBK" w:cs="方正黑体_GBK"/>
          <w:bCs/>
          <w:color w:val="000000"/>
          <w:kern w:val="0"/>
          <w:sz w:val="32"/>
          <w:szCs w:val="22"/>
        </w:rPr>
      </w:pPr>
      <w:r>
        <w:rPr>
          <w:rFonts w:hint="eastAsia" w:ascii="方正黑体_GBK" w:hAnsi="方正黑体_GBK" w:eastAsia="方正黑体_GBK" w:cs="方正黑体_GBK"/>
          <w:bCs/>
          <w:color w:val="000000"/>
          <w:kern w:val="0"/>
          <w:sz w:val="32"/>
          <w:szCs w:val="22"/>
          <w:lang w:val="en-US" w:eastAsia="zh-CN"/>
        </w:rPr>
        <w:t>四</w:t>
      </w:r>
      <w:r>
        <w:rPr>
          <w:rFonts w:hint="eastAsia" w:ascii="方正黑体_GBK" w:hAnsi="方正黑体_GBK" w:eastAsia="方正黑体_GBK" w:cs="方正黑体_GBK"/>
          <w:bCs/>
          <w:color w:val="000000"/>
          <w:kern w:val="0"/>
          <w:sz w:val="32"/>
          <w:szCs w:val="22"/>
        </w:rPr>
        <w:t>、安全管理与重大事件</w:t>
      </w:r>
    </w:p>
    <w:p w14:paraId="496D8AA1">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（一）</w:t>
      </w:r>
      <w:r>
        <w:rPr>
          <w:rFonts w:hint="eastAsia" w:ascii="方正仿宋_GBK" w:hAnsi="方正仿宋_GBK" w:eastAsia="方正仿宋_GBK" w:cs="方正仿宋_GBK"/>
          <w:color w:val="000000"/>
          <w:sz w:val="32"/>
          <w:szCs w:val="32"/>
          <w:lang w:val="en-US" w:eastAsia="zh-CN" w:bidi="ar-SA"/>
        </w:rPr>
        <w:t>发生定性为完全责任的一级医疗事故或直接被卫生健康行政部门判定的重大医疗事故。</w:t>
      </w:r>
    </w:p>
    <w:p w14:paraId="2F66C152">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（二）</w:t>
      </w:r>
      <w:r>
        <w:rPr>
          <w:rFonts w:hint="eastAsia" w:ascii="方正仿宋_GBK" w:hAnsi="方正仿宋_GBK" w:eastAsia="方正仿宋_GBK" w:cs="方正仿宋_GBK"/>
          <w:color w:val="000000"/>
          <w:sz w:val="32"/>
          <w:szCs w:val="32"/>
          <w:lang w:val="en-US" w:eastAsia="zh-CN" w:bidi="ar-SA"/>
        </w:rPr>
        <w:t>发生重大医院感染事件或者实验室生物安全事件，造成严重后果。</w:t>
      </w:r>
    </w:p>
    <w:p w14:paraId="31595D0C">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（三）</w:t>
      </w:r>
      <w:r>
        <w:rPr>
          <w:rFonts w:hint="eastAsia" w:ascii="方正仿宋_GBK" w:hAnsi="方正仿宋_GBK" w:eastAsia="方正仿宋_GBK" w:cs="方正仿宋_GBK"/>
          <w:color w:val="000000"/>
          <w:sz w:val="32"/>
          <w:szCs w:val="32"/>
          <w:lang w:val="en-US" w:eastAsia="zh-CN" w:bidi="ar-SA"/>
        </w:rPr>
        <w:t>发生因重大火灾、放射源泄漏、有害气体泄漏等被通报或处罚的重大安全事故。</w:t>
      </w:r>
    </w:p>
    <w:p w14:paraId="5272F5FF">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（四）</w:t>
      </w:r>
      <w:r>
        <w:rPr>
          <w:rFonts w:hint="eastAsia" w:ascii="方正仿宋_GBK" w:hAnsi="方正仿宋_GBK" w:eastAsia="方正仿宋_GBK" w:cs="方正仿宋_GBK"/>
          <w:color w:val="000000"/>
          <w:sz w:val="32"/>
          <w:szCs w:val="32"/>
          <w:lang w:val="en-US" w:eastAsia="zh-CN" w:bidi="ar-SA"/>
        </w:rPr>
        <w:t>发生瞒报、漏报重大医疗过失事件的行为。</w:t>
      </w:r>
    </w:p>
    <w:p w14:paraId="63B42B4C">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（五）</w:t>
      </w:r>
      <w:r>
        <w:rPr>
          <w:rFonts w:hint="eastAsia" w:ascii="方正仿宋_GBK" w:hAnsi="方正仿宋_GBK" w:eastAsia="方正仿宋_GBK" w:cs="方正仿宋_GBK"/>
          <w:color w:val="000000"/>
          <w:sz w:val="32"/>
          <w:szCs w:val="32"/>
          <w:lang w:val="en-US" w:eastAsia="zh-CN" w:bidi="ar-SA"/>
        </w:rPr>
        <w:t>发生大规模医疗数据泄露或其他重大网络安全事件，造成严重后果。</w:t>
      </w:r>
    </w:p>
    <w:p w14:paraId="6590994E">
      <w:pPr>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rPr>
          <w:rFonts w:hint="eastAsia" w:ascii="方正仿宋_GBK" w:hAnsi="方正仿宋_GBK" w:eastAsia="方正仿宋_GBK" w:cs="方正仿宋_GBK"/>
          <w:color w:val="000000"/>
          <w:sz w:val="32"/>
          <w:szCs w:val="32"/>
          <w:lang w:val="en-US" w:eastAsia="zh-CN" w:bidi="ar-SA"/>
        </w:rPr>
      </w:pPr>
      <w:r>
        <w:rPr>
          <w:rFonts w:hint="eastAsia" w:ascii="方正楷体_GBK" w:hAnsi="方正楷体_GBK" w:eastAsia="方正楷体_GBK" w:cs="方正楷体_GBK"/>
          <w:color w:val="000000"/>
          <w:spacing w:val="0"/>
          <w:sz w:val="32"/>
          <w:szCs w:val="32"/>
          <w:lang w:val="en-US" w:eastAsia="zh-CN" w:bidi="ar-SA"/>
        </w:rPr>
        <w:t>（六）</w:t>
      </w:r>
      <w:r>
        <w:rPr>
          <w:rFonts w:hint="eastAsia" w:ascii="方正仿宋_GBK" w:hAnsi="方正仿宋_GBK" w:eastAsia="方正仿宋_GBK" w:cs="方正仿宋_GBK"/>
          <w:color w:val="000000"/>
          <w:sz w:val="32"/>
          <w:szCs w:val="32"/>
          <w:lang w:val="en-US" w:eastAsia="zh-CN" w:bidi="ar-SA"/>
        </w:rPr>
        <w:t>发生重大不良舆情，造成重大社会影响。</w:t>
      </w:r>
    </w:p>
    <w:p w14:paraId="76E05A8E">
      <w:pPr>
        <w:pStyle w:val="2"/>
        <w:keepNext w:val="0"/>
        <w:keepLines w:val="0"/>
        <w:pageBreakBefore w:val="0"/>
        <w:widowControl w:val="0"/>
        <w:kinsoku/>
        <w:wordWrap/>
        <w:overflowPunct/>
        <w:topLinePunct w:val="0"/>
        <w:autoSpaceDE/>
        <w:autoSpaceDN/>
        <w:bidi w:val="0"/>
        <w:adjustRightInd/>
        <w:snapToGrid w:val="0"/>
        <w:spacing w:line="570" w:lineRule="exact"/>
        <w:ind w:right="0" w:rightChars="0" w:firstLine="640" w:firstLineChars="200"/>
        <w:jc w:val="both"/>
        <w:textAlignment w:val="baseline"/>
      </w:pPr>
      <w:r>
        <w:rPr>
          <w:rFonts w:hint="eastAsia" w:ascii="方正楷体_GBK" w:hAnsi="方正楷体_GBK" w:eastAsia="方正楷体_GBK" w:cs="方正楷体_GBK"/>
          <w:color w:val="000000"/>
          <w:spacing w:val="0"/>
          <w:sz w:val="32"/>
          <w:szCs w:val="32"/>
          <w:lang w:val="en-US" w:eastAsia="zh-CN" w:bidi="ar-SA"/>
        </w:rPr>
        <w:t>（七）</w:t>
      </w:r>
      <w:r>
        <w:rPr>
          <w:rFonts w:hint="eastAsia" w:ascii="方正仿宋_GBK" w:hAnsi="方正仿宋_GBK" w:eastAsia="方正仿宋_GBK" w:cs="方正仿宋_GBK"/>
          <w:color w:val="000000"/>
          <w:sz w:val="32"/>
          <w:szCs w:val="32"/>
          <w:highlight w:val="none"/>
          <w:lang w:val="en-US" w:eastAsia="zh-CN" w:bidi="ar-SA"/>
        </w:rPr>
        <w:t>未按要求向卫生健康行政部门上报医疗质量与安全信息数据并造成数据评价结果无法使用的。</w:t>
      </w:r>
    </w:p>
    <w:p w14:paraId="1CBC43A5">
      <w:pPr>
        <w:widowControl w:val="0"/>
        <w:numPr>
          <w:ilvl w:val="0"/>
          <w:numId w:val="0"/>
        </w:numPr>
        <w:jc w:val="both"/>
        <w:rPr>
          <w:rFonts w:hint="default" w:ascii="方正仿宋_GBK" w:hAnsi="方正仿宋_GBK" w:eastAsia="方正仿宋_GBK" w:cs="方正仿宋_GBK"/>
          <w:i w:val="0"/>
          <w:iCs w:val="0"/>
          <w:caps w:val="0"/>
          <w:color w:val="auto"/>
          <w:spacing w:val="0"/>
          <w:kern w:val="0"/>
          <w:sz w:val="32"/>
          <w:szCs w:val="32"/>
          <w:lang w:val="en-US" w:eastAsia="zh-CN" w:bidi="ar"/>
        </w:rPr>
      </w:pPr>
    </w:p>
    <w:p w14:paraId="3CA9236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4D"/>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altName w:val="Arial Unicode MS"/>
    <w:panose1 w:val="03000509000000000000"/>
    <w:charset w:val="86"/>
    <w:family w:val="auto"/>
    <w:pitch w:val="default"/>
    <w:sig w:usb0="00000000" w:usb1="00000000" w:usb2="00000000" w:usb3="00000000" w:csb0="00040000" w:csb1="00000000"/>
  </w:font>
  <w:font w:name="方正小标宋_GBK">
    <w:altName w:val="Arial Unicode MS"/>
    <w:panose1 w:val="03000509000000000000"/>
    <w:charset w:val="86"/>
    <w:family w:val="auto"/>
    <w:pitch w:val="default"/>
    <w:sig w:usb0="00000000" w:usb1="0000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楷体_GBK">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KSOFD0355493">
    <w:panose1 w:val="020B0604020202020204"/>
    <w:charset w:val="86"/>
    <w:family w:val="auto"/>
    <w:pitch w:val="default"/>
    <w:sig w:usb0="00000001" w:usb1="00000000" w:usb2="00000000" w:usb3="00000000" w:csb0="00040001" w:csb1="00000000"/>
  </w:font>
  <w:font w:name="KSOF51D5AD36">
    <w:panose1 w:val="020B0604020202020204"/>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6E13DB"/>
    <w:rsid w:val="00A52C09"/>
    <w:rsid w:val="00D82FD6"/>
    <w:rsid w:val="01536DBF"/>
    <w:rsid w:val="022C7B12"/>
    <w:rsid w:val="03BC22B9"/>
    <w:rsid w:val="0A6E13DB"/>
    <w:rsid w:val="0C467C6A"/>
    <w:rsid w:val="0CA6496E"/>
    <w:rsid w:val="10921A09"/>
    <w:rsid w:val="121137A1"/>
    <w:rsid w:val="12D022AA"/>
    <w:rsid w:val="136127B7"/>
    <w:rsid w:val="1537759A"/>
    <w:rsid w:val="153C3939"/>
    <w:rsid w:val="17FD1E9F"/>
    <w:rsid w:val="1CC22BF1"/>
    <w:rsid w:val="1F0E1CBE"/>
    <w:rsid w:val="1F58042A"/>
    <w:rsid w:val="213D138A"/>
    <w:rsid w:val="22094286"/>
    <w:rsid w:val="22BB7C8F"/>
    <w:rsid w:val="231B2E11"/>
    <w:rsid w:val="2601208F"/>
    <w:rsid w:val="29577E17"/>
    <w:rsid w:val="2CFA0498"/>
    <w:rsid w:val="349E08A1"/>
    <w:rsid w:val="38432C50"/>
    <w:rsid w:val="39DE65F6"/>
    <w:rsid w:val="3A6601D7"/>
    <w:rsid w:val="3AFC62EC"/>
    <w:rsid w:val="3B4F08B0"/>
    <w:rsid w:val="3D127E6A"/>
    <w:rsid w:val="3F177889"/>
    <w:rsid w:val="3F40706E"/>
    <w:rsid w:val="3F497A86"/>
    <w:rsid w:val="41C76C15"/>
    <w:rsid w:val="4203305D"/>
    <w:rsid w:val="43216D23"/>
    <w:rsid w:val="43D0489B"/>
    <w:rsid w:val="47386EEB"/>
    <w:rsid w:val="4F93087E"/>
    <w:rsid w:val="4FBE45A7"/>
    <w:rsid w:val="5211551B"/>
    <w:rsid w:val="535B0538"/>
    <w:rsid w:val="546C6AFA"/>
    <w:rsid w:val="588160DB"/>
    <w:rsid w:val="58E334A1"/>
    <w:rsid w:val="59A92571"/>
    <w:rsid w:val="5B911EDF"/>
    <w:rsid w:val="5E363C42"/>
    <w:rsid w:val="5FB755C2"/>
    <w:rsid w:val="60463B73"/>
    <w:rsid w:val="60DA0424"/>
    <w:rsid w:val="61A61E78"/>
    <w:rsid w:val="62C4078E"/>
    <w:rsid w:val="62C44114"/>
    <w:rsid w:val="62DB4B3C"/>
    <w:rsid w:val="63953142"/>
    <w:rsid w:val="64D83671"/>
    <w:rsid w:val="68B8200E"/>
    <w:rsid w:val="69D5490E"/>
    <w:rsid w:val="69FD491B"/>
    <w:rsid w:val="6FBC7B07"/>
    <w:rsid w:val="774B7559"/>
    <w:rsid w:val="779265EB"/>
    <w:rsid w:val="79D9203D"/>
    <w:rsid w:val="79F726CE"/>
    <w:rsid w:val="7BF24AAC"/>
    <w:rsid w:val="7E2023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1"/>
    <w:rPr>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云南省林业厅</Company>
  <Pages>5</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2026-10-12T07:43:00Z</dcterms:created>
  <dc:creator>李品娥</dc:creator>
  <cp:lastModifiedBy>李品娥</cp:lastModifiedBy>
  <dcterms:modified xsi:type="dcterms:W3CDTF">2026-10-12T07:43:32Z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1607D69C624C4DA8AB8A5D7C6310B64C_11</vt:lpwstr>
  </property>
  <property fmtid="{D5CDD505-2E9C-101B-9397-08002B2CF9AE}" pid="4" name="KSOTemplateDocerSaveRecord">
    <vt:lpwstr>eyJoZGlkIjoiNTkzMTA5YjQzNDVkN2UwNGZkZWNkMmM4OGNiYmE4NmQiLCJ1c2VySWQiOiI0MzY0MTA3MDIifQ==</vt:lpwstr>
  </property>
</Properties>
</file>