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32470B">
      <w:pPr>
        <w:pStyle w:val="19"/>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kern w:val="2"/>
          <w:sz w:val="44"/>
          <w:szCs w:val="44"/>
          <w:lang w:val="en-US" w:eastAsia="zh-CN" w:bidi="ar-SA"/>
        </w:rPr>
      </w:pPr>
      <w:bookmarkStart w:id="0" w:name="_bookmark5"/>
      <w:bookmarkEnd w:id="0"/>
      <w:bookmarkStart w:id="1" w:name="_bookmark2"/>
      <w:bookmarkEnd w:id="1"/>
      <w:bookmarkStart w:id="2" w:name="_bookmark4"/>
      <w:bookmarkEnd w:id="2"/>
      <w:bookmarkStart w:id="3" w:name="_bookmark0"/>
      <w:bookmarkEnd w:id="3"/>
      <w:bookmarkStart w:id="4" w:name="_bookmark6"/>
      <w:bookmarkEnd w:id="4"/>
      <w:bookmarkStart w:id="5" w:name="_bookmark3"/>
      <w:bookmarkEnd w:id="5"/>
      <w:bookmarkStart w:id="6" w:name="_bookmark1"/>
      <w:bookmarkEnd w:id="6"/>
    </w:p>
    <w:p w14:paraId="0520F053">
      <w:pPr>
        <w:pStyle w:val="19"/>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kern w:val="2"/>
          <w:sz w:val="44"/>
          <w:szCs w:val="44"/>
          <w:lang w:val="en-US" w:eastAsia="zh-CN" w:bidi="ar-SA"/>
        </w:rPr>
      </w:pPr>
    </w:p>
    <w:p w14:paraId="6CB0DF98">
      <w:pPr>
        <w:pageBreakBefore w:val="0"/>
        <w:tabs>
          <w:tab w:val="left" w:pos="4111"/>
        </w:tabs>
        <w:kinsoku/>
        <w:overflowPunct/>
        <w:topLinePunct w:val="0"/>
        <w:bidi w:val="0"/>
        <w:snapToGrid w:val="0"/>
        <w:spacing w:line="600" w:lineRule="exact"/>
        <w:jc w:val="center"/>
        <w:rPr>
          <w:rFonts w:hint="eastAsia" w:ascii="宋体" w:hAnsi="宋体" w:eastAsia="宋体" w:cs="宋体"/>
          <w:color w:val="auto"/>
          <w:kern w:val="2"/>
          <w:sz w:val="44"/>
          <w:szCs w:val="44"/>
          <w:lang w:val="en-US" w:eastAsia="zh-CN" w:bidi="ar-SA"/>
        </w:rPr>
      </w:pPr>
      <w:r>
        <w:rPr>
          <w:rFonts w:hint="eastAsia" w:ascii="宋体" w:hAnsi="宋体" w:eastAsia="宋体" w:cs="宋体"/>
          <w:color w:val="auto"/>
          <w:kern w:val="2"/>
          <w:sz w:val="44"/>
          <w:szCs w:val="44"/>
          <w:lang w:val="en-US" w:eastAsia="zh-CN" w:bidi="ar-SA"/>
        </w:rPr>
        <w:t>关于进一步加强母婴生活照护服务机构</w:t>
      </w:r>
    </w:p>
    <w:p w14:paraId="154BB678">
      <w:pPr>
        <w:pageBreakBefore w:val="0"/>
        <w:tabs>
          <w:tab w:val="left" w:pos="4111"/>
        </w:tabs>
        <w:kinsoku/>
        <w:overflowPunct/>
        <w:topLinePunct w:val="0"/>
        <w:bidi w:val="0"/>
        <w:snapToGrid w:val="0"/>
        <w:spacing w:line="600" w:lineRule="exact"/>
        <w:jc w:val="center"/>
        <w:rPr>
          <w:rFonts w:hint="eastAsia" w:ascii="宋体" w:hAnsi="宋体" w:eastAsia="宋体" w:cs="宋体"/>
          <w:color w:val="auto"/>
          <w:kern w:val="2"/>
          <w:sz w:val="44"/>
          <w:szCs w:val="44"/>
          <w:lang w:val="en-US" w:eastAsia="zh-CN" w:bidi="ar-SA"/>
        </w:rPr>
      </w:pPr>
      <w:r>
        <w:rPr>
          <w:rFonts w:hint="eastAsia" w:ascii="宋体" w:hAnsi="宋体" w:eastAsia="宋体" w:cs="宋体"/>
          <w:color w:val="auto"/>
          <w:kern w:val="2"/>
          <w:sz w:val="44"/>
          <w:szCs w:val="44"/>
          <w:lang w:val="en-US" w:eastAsia="zh-CN" w:bidi="ar-SA"/>
        </w:rPr>
        <w:t>综合监管的通知</w:t>
      </w:r>
    </w:p>
    <w:p w14:paraId="61D4C389">
      <w:pPr>
        <w:pageBreakBefore w:val="0"/>
        <w:tabs>
          <w:tab w:val="left" w:pos="4111"/>
        </w:tabs>
        <w:kinsoku/>
        <w:overflowPunct/>
        <w:topLinePunct w:val="0"/>
        <w:bidi w:val="0"/>
        <w:snapToGrid w:val="0"/>
        <w:spacing w:line="600" w:lineRule="exact"/>
        <w:jc w:val="center"/>
        <w:rPr>
          <w:rFonts w:hint="eastAsia" w:ascii="仿宋_GB2312" w:hAnsi="仿宋_GB2312" w:eastAsia="仿宋_GB2312" w:cs="仿宋_GB2312"/>
          <w:i w:val="0"/>
          <w:caps w:val="0"/>
          <w:color w:val="auto"/>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auto"/>
          <w:spacing w:val="0"/>
          <w:kern w:val="2"/>
          <w:sz w:val="32"/>
          <w:szCs w:val="32"/>
          <w:shd w:val="clear" w:color="auto" w:fill="FFFFFF"/>
          <w:lang w:val="en-US" w:eastAsia="zh-CN" w:bidi="ar-SA"/>
        </w:rPr>
        <w:t>云卫规〔2026〕2号</w:t>
      </w:r>
    </w:p>
    <w:p w14:paraId="49B77F63">
      <w:pPr>
        <w:pageBreakBefore w:val="0"/>
        <w:tabs>
          <w:tab w:val="left" w:pos="4111"/>
        </w:tabs>
        <w:kinsoku/>
        <w:overflowPunct/>
        <w:topLinePunct w:val="0"/>
        <w:bidi w:val="0"/>
        <w:snapToGrid w:val="0"/>
        <w:spacing w:line="600" w:lineRule="exact"/>
        <w:ind w:firstLine="720" w:firstLineChars="200"/>
        <w:rPr>
          <w:rFonts w:hint="eastAsia" w:ascii="仿宋_GB2312" w:hAnsi="仿宋_GB2312" w:eastAsia="仿宋_GB2312" w:cs="仿宋_GB2312"/>
          <w:i w:val="0"/>
          <w:caps w:val="0"/>
          <w:color w:val="auto"/>
          <w:spacing w:val="0"/>
          <w:kern w:val="2"/>
          <w:sz w:val="36"/>
          <w:szCs w:val="36"/>
          <w:shd w:val="clear" w:color="auto" w:fill="FFFFFF"/>
          <w:lang w:val="en-US" w:eastAsia="zh-CN" w:bidi="ar-SA"/>
        </w:rPr>
      </w:pPr>
      <w:bookmarkStart w:id="7" w:name="_GoBack"/>
      <w:bookmarkEnd w:id="7"/>
    </w:p>
    <w:p w14:paraId="7E890ABE">
      <w:pPr>
        <w:pStyle w:val="19"/>
        <w:keepNext w:val="0"/>
        <w:keepLines w:val="0"/>
        <w:pageBreakBefore w:val="0"/>
        <w:widowControl w:val="0"/>
        <w:kinsoku/>
        <w:wordWrap/>
        <w:overflowPunct/>
        <w:topLinePunct w:val="0"/>
        <w:autoSpaceDE/>
        <w:autoSpaceDN/>
        <w:bidi w:val="0"/>
        <w:adjustRightInd w:val="0"/>
        <w:snapToGrid w:val="0"/>
        <w:spacing w:line="600" w:lineRule="exact"/>
        <w:jc w:val="both"/>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各州（市）卫生健康委、市场监管局、公安局、人力资源社会保障局、住房城乡建设局、医保局、消防救援局、妇儿工委办（政府负责妇女儿童工作的机构机制办公室）：</w:t>
      </w:r>
    </w:p>
    <w:p w14:paraId="34AF5779">
      <w:pPr>
        <w:pStyle w:val="19"/>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b w:val="0"/>
          <w:bCs w:val="0"/>
          <w:i w:val="0"/>
          <w:caps w:val="0"/>
          <w:color w:val="333333"/>
          <w:spacing w:val="0"/>
          <w:kern w:val="2"/>
          <w:sz w:val="32"/>
          <w:szCs w:val="32"/>
          <w:shd w:val="clear" w:color="auto" w:fill="FFFFFF"/>
          <w:lang w:val="en-US" w:eastAsia="zh-CN" w:bidi="ar-SA"/>
        </w:rPr>
        <w:t>为</w:t>
      </w: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深入贯彻落实《国务院办公厅关于深入推进跨部门综合监管的指导意见》（国办发〔2023〕1号）要求，进一步规范全省母婴生活照护服务机构管理，促进行业健康有序发展，切实维护群众合法权益，结合工作实际，现就加强全省母婴生活照护服务机构综合监管有关事项通知如下。</w:t>
      </w:r>
    </w:p>
    <w:p w14:paraId="10D2346B">
      <w:pPr>
        <w:pStyle w:val="19"/>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auto"/>
        <w:rPr>
          <w:rFonts w:hint="eastAsia" w:ascii="仿宋_GB2312" w:hAnsi="仿宋_GB2312" w:eastAsia="仿宋_GB2312" w:cs="仿宋_GB2312"/>
          <w:b/>
          <w:bCs/>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b/>
          <w:bCs/>
          <w:i w:val="0"/>
          <w:caps w:val="0"/>
          <w:color w:val="333333"/>
          <w:spacing w:val="0"/>
          <w:kern w:val="2"/>
          <w:sz w:val="32"/>
          <w:szCs w:val="32"/>
          <w:shd w:val="clear" w:color="auto" w:fill="FFFFFF"/>
          <w:lang w:val="en-US" w:eastAsia="zh-CN" w:bidi="ar-SA"/>
        </w:rPr>
        <w:t>一、服务主体范围</w:t>
      </w:r>
    </w:p>
    <w:p w14:paraId="0B0AB721">
      <w:pPr>
        <w:pStyle w:val="19"/>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（一）依据《母婴保健服务机构通用要求》（GB/T 33855-2026）标准，“母婴生活照护服务机构”主要指为备孕、孕期、产后女性和婴幼儿提供保健服务的市场主体。仅从事母婴生活照护服务的，不纳入医疗机构管理范围；拟从事诊疗活动的，应当申请设立相应类别的医疗机构，并依法取得《医疗机构执业许可证》，纳入医疗机构管理范围。</w:t>
      </w:r>
    </w:p>
    <w:p w14:paraId="124B9C1A">
      <w:pPr>
        <w:pStyle w:val="19"/>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二）各级各类医疗机构为孕产妇及新生儿提供的医疗保健服务属于诊疗服务。省内二级及以上公立医疗机构在保证基本医疗服务的前提下，可按照云南省特需医疗服务有关规定，在现行医疗服务价格项目范围内，开展“亲情陪产”“导乐分娩”等改善分娩体验，以及护理、康复、美容等个性化特需医疗服务，提升生育友好医院建设水平。开展特需医疗服务的公立医疗机构，不属于母婴生活照护服务机构范畴。</w:t>
      </w:r>
    </w:p>
    <w:p w14:paraId="626C8F53">
      <w:pPr>
        <w:pStyle w:val="19"/>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auto"/>
        <w:rPr>
          <w:rFonts w:hint="eastAsia" w:ascii="仿宋_GB2312" w:hAnsi="仿宋_GB2312" w:eastAsia="仿宋_GB2312" w:cs="仿宋_GB2312"/>
          <w:b/>
          <w:bCs/>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b/>
          <w:bCs/>
          <w:i w:val="0"/>
          <w:caps w:val="0"/>
          <w:color w:val="333333"/>
          <w:spacing w:val="0"/>
          <w:kern w:val="2"/>
          <w:sz w:val="32"/>
          <w:szCs w:val="32"/>
          <w:shd w:val="clear" w:color="auto" w:fill="FFFFFF"/>
          <w:lang w:val="en-US" w:eastAsia="zh-CN" w:bidi="ar-SA"/>
        </w:rPr>
        <w:t>二、规范服务提供</w:t>
      </w:r>
    </w:p>
    <w:p w14:paraId="6F78B264">
      <w:pPr>
        <w:pStyle w:val="19"/>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一）母婴生活照护服务机构应当依法在市场监管部门登记，经营范围登记为一般经营项目“母婴生活护理（不含医疗服务）”，建立健全服务价格公示制度，在经营场所显著位置对服务项目、收费标准及监督电话予以公示。</w:t>
      </w:r>
    </w:p>
    <w:p w14:paraId="1B71D262">
      <w:pPr>
        <w:pStyle w:val="19"/>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（二）母婴生活照护服务机构用房选址应当符合城市规划和用地要求，原则上选择公共设施用地。所用房屋应当符合房屋使用用途和质量安全、环境要求，按照有关标准设计、修缮与改造。</w:t>
      </w:r>
    </w:p>
    <w:p w14:paraId="004AB47D">
      <w:pPr>
        <w:pStyle w:val="19"/>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（三）母婴生活照护服务机构提供餐饮服务须依法取得《食品经营许可证》，落实食品安全主体责任，配备食品安全管理人员，加强食品安全日常管理，食品全程可溯源。</w:t>
      </w:r>
    </w:p>
    <w:p w14:paraId="017849A5">
      <w:pPr>
        <w:pStyle w:val="19"/>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四）母婴生活照护服务机构应当建立工作人员教育培训制度，开展上岗前培训，加强常态化法治教育和专业技能培训；鼓励从业人员参加母婴照护或健康管理相关职业技能培训，并参加职业技能等级认定。从业人员应具备防火、灭火、逃生自救和组织疏散能力。</w:t>
      </w:r>
    </w:p>
    <w:p w14:paraId="230215CF">
      <w:pPr>
        <w:pStyle w:val="19"/>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auto"/>
        <w:rPr>
          <w:rFonts w:hint="eastAsia" w:ascii="仿宋_GB2312" w:hAnsi="仿宋_GB2312" w:eastAsia="仿宋_GB2312" w:cs="仿宋_GB2312"/>
          <w:b/>
          <w:bCs/>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b/>
          <w:bCs/>
          <w:i w:val="0"/>
          <w:caps w:val="0"/>
          <w:color w:val="333333"/>
          <w:spacing w:val="0"/>
          <w:kern w:val="2"/>
          <w:sz w:val="32"/>
          <w:szCs w:val="32"/>
          <w:shd w:val="clear" w:color="auto" w:fill="FFFFFF"/>
          <w:lang w:val="en-US" w:eastAsia="zh-CN" w:bidi="ar-SA"/>
        </w:rPr>
        <w:t>三、规范安全管理</w:t>
      </w:r>
    </w:p>
    <w:p w14:paraId="129A672A">
      <w:pPr>
        <w:pStyle w:val="19"/>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一）母婴生活照护服务机构须与从业人员签订劳动合同并缴纳社会保险。从业人员须持有效健康合格证明上岗，在岗期间每年体检一次，严禁患有可能影响产妇、婴儿健康疾病的人员上岗。制定完善的内部管理制度，包括食品卫生、安全保卫、信息管理、消防管理、档案管理、投诉处理、应急预案等。</w:t>
      </w:r>
    </w:p>
    <w:p w14:paraId="27BE8E57">
      <w:pPr>
        <w:pStyle w:val="19"/>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二）母婴生活照护服务机构提供服务前须与服务对象签订书面合同，明确服务内容、标准和收费。产妇、婴儿入住前须进行健康评估，不应接收处于传染病急性期或不适合集中照护的人员。建立母婴健康日常监测记录制度，提供科学的营养与喂养指导。</w:t>
      </w:r>
    </w:p>
    <w:p w14:paraId="04699B42">
      <w:pPr>
        <w:pStyle w:val="19"/>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三）各级各类医疗机构须严格按照《医疗机构执业许可证》核准范围，由具备资质的医务人员为孕产妇及新生儿提供医疗保健服务。公立医疗机构提供的特需医疗服务须纳入本机构医疗质量安全管理体系，建立健全规章制度、操作规程、风险评估、知情同意及病历管理制度，实现诊疗、收费、服务全过程可追溯。严禁超范围执业，严禁将无医疗指征的非医疗需求按疾病进行诊疗。</w:t>
      </w:r>
    </w:p>
    <w:p w14:paraId="5C86BCBF">
      <w:pPr>
        <w:pStyle w:val="19"/>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auto"/>
        <w:rPr>
          <w:rFonts w:hint="eastAsia" w:ascii="仿宋_GB2312" w:hAnsi="仿宋_GB2312" w:eastAsia="仿宋_GB2312" w:cs="仿宋_GB2312"/>
          <w:b/>
          <w:bCs/>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b/>
          <w:bCs/>
          <w:i w:val="0"/>
          <w:caps w:val="0"/>
          <w:color w:val="333333"/>
          <w:spacing w:val="0"/>
          <w:kern w:val="2"/>
          <w:sz w:val="32"/>
          <w:szCs w:val="32"/>
          <w:shd w:val="clear" w:color="auto" w:fill="FFFFFF"/>
          <w:lang w:val="en-US" w:eastAsia="zh-CN" w:bidi="ar-SA"/>
        </w:rPr>
        <w:t>四、落实部门职责</w:t>
      </w:r>
    </w:p>
    <w:p w14:paraId="592871B8">
      <w:pPr>
        <w:pStyle w:val="19"/>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一）按照属地为主、协同共治、规范监管、保障安全的原则，对母婴生活照护服务机构开展跨部门综合监管。卫生健康、市场监管、公安、人力资源社会保障、医保、住房城乡建设、消防、妇儿工委办（政府负责妇女儿童工作的机构机制办公室）等有关部门依职责做好相关监管工作。</w:t>
      </w:r>
    </w:p>
    <w:p w14:paraId="1B4965D7">
      <w:pPr>
        <w:pStyle w:val="19"/>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（二）卫生健康行政部门加强对各级各类医疗机构为孕产妇及新生儿提供医疗保健服务的监管，开展传染病防治监督管理，在应急状态下协调提供医疗服务保障。</w:t>
      </w:r>
    </w:p>
    <w:p w14:paraId="6B23B1EA">
      <w:pPr>
        <w:pStyle w:val="19"/>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（三）市场监管部门负责指导市场主体将经营范围规范表述为“母婴生活护理（不含医疗服务）”，加强对母婴生活照护服务机构食品安全的监督检查，依法查处价格违法和违法广告行为，开展服务质量监测。</w:t>
      </w:r>
    </w:p>
    <w:p w14:paraId="46CFDC1C">
      <w:pPr>
        <w:pStyle w:val="19"/>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（四）公安部门负责依法对母婴生活照护服务机构及周边发生的各类违法犯罪行为进行查处。</w:t>
      </w:r>
    </w:p>
    <w:p w14:paraId="66D92116">
      <w:pPr>
        <w:pStyle w:val="19"/>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（五）人力资源社会保障部门负责监督母婴生活照护服务机构劳动用工情况，指导其规范劳动用工行为，指导开展母婴护理人员职业技能培训，依法查处违反劳动保障法律法规的行为。</w:t>
      </w:r>
    </w:p>
    <w:p w14:paraId="6AA7580D">
      <w:pPr>
        <w:pStyle w:val="19"/>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（六）医保部门协同卫生健康、市场监管部门加强对公立医疗机构开展特需医疗服务的指导、落实医疗服务价格公示制度的监督。</w:t>
      </w:r>
    </w:p>
    <w:p w14:paraId="3CE04E39">
      <w:pPr>
        <w:pStyle w:val="19"/>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（七）住房城乡建设部门负责对母婴生活照护服务机构建设工程的消防设计审查、消防验收、备案和抽查工作。</w:t>
      </w:r>
    </w:p>
    <w:p w14:paraId="51AD5F56">
      <w:pPr>
        <w:pStyle w:val="19"/>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（八）消防救援部门负责对母婴生活照护服务机构履行法定消防安全责任情况开展监督管理；依法查处消防安全违法行为。</w:t>
      </w:r>
    </w:p>
    <w:p w14:paraId="02FED9BC">
      <w:pPr>
        <w:pStyle w:val="19"/>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（九）妇儿工委办（政府负责妇女儿童工作的机构机制办公室）负责协调有关部门依法维护妇女、儿童的合法权益；参与母婴健康服务指导；配合开展母婴权益保护宣传和维权工作。</w:t>
      </w:r>
    </w:p>
    <w:p w14:paraId="4EB3F769">
      <w:pPr>
        <w:pStyle w:val="19"/>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auto"/>
        <w:rPr>
          <w:rFonts w:hint="eastAsia" w:ascii="仿宋_GB2312" w:hAnsi="仿宋_GB2312" w:eastAsia="仿宋_GB2312" w:cs="仿宋_GB2312"/>
          <w:b/>
          <w:bCs/>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b/>
          <w:bCs/>
          <w:i w:val="0"/>
          <w:caps w:val="0"/>
          <w:color w:val="333333"/>
          <w:spacing w:val="0"/>
          <w:kern w:val="2"/>
          <w:sz w:val="32"/>
          <w:szCs w:val="32"/>
          <w:shd w:val="clear" w:color="auto" w:fill="FFFFFF"/>
          <w:lang w:val="en-US" w:eastAsia="zh-CN" w:bidi="ar-SA"/>
        </w:rPr>
        <w:t>五、加强监督检查</w:t>
      </w:r>
    </w:p>
    <w:p w14:paraId="2A23D64C">
      <w:pPr>
        <w:pStyle w:val="19"/>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（一）各级各有关部门要加强对母婴生活照护服务机构的日常监管，按照职责落实相关管理责任，对未按要求提供母婴生活照护服务或非法开展诊疗活动的机构，应依法依规予以处理。</w:t>
      </w:r>
    </w:p>
    <w:p w14:paraId="2909F8C1">
      <w:pPr>
        <w:pStyle w:val="19"/>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二）各级各有关部门要加强对母婴生活照护服务机构广告发布的监督指导，确保广告内容合法、真实、准确，不得含有虚假或引人误解的内容，不得欺骗、误导消费者，为孕产妇及新生儿提供安全、健康、优质的服务。</w:t>
      </w:r>
    </w:p>
    <w:p w14:paraId="32BC7663">
      <w:pPr>
        <w:pStyle w:val="19"/>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（三）各母婴生活照护服务机构要落实机构主体责任，加强行业自律，规范服务行为，主动配合有关部门依法开展的各项监督检查工作，自觉接受社会监督，共同维护母婴服务行业良好秩序。</w:t>
      </w:r>
    </w:p>
    <w:p w14:paraId="5AB26401">
      <w:pPr>
        <w:pStyle w:val="19"/>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本通知自2026年11月1日起施行。</w:t>
      </w:r>
    </w:p>
    <w:p w14:paraId="07EA5834">
      <w:pPr>
        <w:pStyle w:val="19"/>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p>
    <w:p w14:paraId="316A7107">
      <w:pPr>
        <w:pStyle w:val="19"/>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p>
    <w:p w14:paraId="45BE4AF7">
      <w:pPr>
        <w:keepNext w:val="0"/>
        <w:keepLines w:val="0"/>
        <w:pageBreakBefore w:val="0"/>
        <w:widowControl/>
        <w:kinsoku/>
        <w:wordWrap w:val="0"/>
        <w:overflowPunct/>
        <w:topLinePunct w:val="0"/>
        <w:autoSpaceDE/>
        <w:autoSpaceDN/>
        <w:bidi w:val="0"/>
        <w:adjustRightInd/>
        <w:snapToGrid/>
        <w:spacing w:line="600" w:lineRule="exact"/>
        <w:ind w:firstLine="640" w:firstLineChars="200"/>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云南省卫生健康委员会　云南省市场监督管理局</w:t>
      </w:r>
    </w:p>
    <w:p w14:paraId="0246082F">
      <w:pPr>
        <w:keepNext w:val="0"/>
        <w:keepLines w:val="0"/>
        <w:pageBreakBefore w:val="0"/>
        <w:widowControl/>
        <w:kinsoku/>
        <w:wordWrap w:val="0"/>
        <w:overflowPunct/>
        <w:topLinePunct w:val="0"/>
        <w:autoSpaceDE/>
        <w:autoSpaceDN/>
        <w:bidi w:val="0"/>
        <w:adjustRightInd/>
        <w:snapToGrid/>
        <w:spacing w:line="600" w:lineRule="exact"/>
        <w:ind w:firstLine="640" w:firstLineChars="200"/>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云南省公安厅　云南省人力资源和社会保障厅</w:t>
      </w:r>
    </w:p>
    <w:p w14:paraId="383FD03A">
      <w:pPr>
        <w:keepNext w:val="0"/>
        <w:keepLines w:val="0"/>
        <w:pageBreakBefore w:val="0"/>
        <w:widowControl/>
        <w:kinsoku/>
        <w:wordWrap w:val="0"/>
        <w:overflowPunct/>
        <w:topLinePunct w:val="0"/>
        <w:autoSpaceDE/>
        <w:autoSpaceDN/>
        <w:bidi w:val="0"/>
        <w:adjustRightInd/>
        <w:snapToGrid/>
        <w:spacing w:line="600" w:lineRule="exact"/>
        <w:ind w:firstLine="640" w:firstLineChars="200"/>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云南省住房和城乡建设厅　云南省医疗保障局</w:t>
      </w:r>
    </w:p>
    <w:p w14:paraId="22399F50">
      <w:pPr>
        <w:keepNext w:val="0"/>
        <w:keepLines w:val="0"/>
        <w:pageBreakBefore w:val="0"/>
        <w:widowControl/>
        <w:kinsoku/>
        <w:wordWrap w:val="0"/>
        <w:overflowPunct/>
        <w:topLinePunct w:val="0"/>
        <w:autoSpaceDE/>
        <w:autoSpaceDN/>
        <w:bidi w:val="0"/>
        <w:adjustRightInd/>
        <w:snapToGrid/>
        <w:spacing w:line="600" w:lineRule="exact"/>
        <w:ind w:firstLine="640" w:firstLineChars="200"/>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云南省消防救援局　云南省妇儿工委办公室</w:t>
      </w:r>
    </w:p>
    <w:p w14:paraId="1F7112ED">
      <w:pPr>
        <w:keepNext w:val="0"/>
        <w:keepLines w:val="0"/>
        <w:pageBreakBefore w:val="0"/>
        <w:widowControl/>
        <w:kinsoku/>
        <w:wordWrap w:val="0"/>
        <w:overflowPunct/>
        <w:topLinePunct w:val="0"/>
        <w:autoSpaceDE/>
        <w:autoSpaceDN/>
        <w:bidi w:val="0"/>
        <w:adjustRightInd/>
        <w:snapToGrid/>
        <w:spacing w:line="600" w:lineRule="exact"/>
        <w:ind w:firstLine="640" w:firstLineChars="200"/>
        <w:jc w:val="right"/>
        <w:textAlignment w:val="auto"/>
        <w:rPr>
          <w:rFonts w:hint="eastAsia" w:ascii="仿宋_GB2312" w:hAnsi="仿宋_GB2312" w:eastAsia="仿宋_GB2312" w:cs="仿宋_GB2312"/>
          <w:b w:val="0"/>
          <w:bCs w:val="0"/>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sz w:val="32"/>
          <w:szCs w:val="32"/>
          <w:lang w:val="en-US" w:eastAsia="zh-CN"/>
        </w:rPr>
        <w:t xml:space="preserve">2026年9月20日　　　 </w:t>
      </w:r>
    </w:p>
    <w:p w14:paraId="21A48E21">
      <w:pPr>
        <w:pStyle w:val="4"/>
        <w:keepNext/>
        <w:keepLines/>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eastAsia" w:ascii="仿宋_GB2312" w:hAnsi="仿宋_GB2312" w:eastAsia="仿宋_GB2312" w:cs="仿宋_GB2312"/>
          <w:b w:val="0"/>
          <w:bCs w:val="0"/>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b w:val="0"/>
          <w:bCs w:val="0"/>
          <w:i w:val="0"/>
          <w:caps w:val="0"/>
          <w:color w:val="333333"/>
          <w:spacing w:val="0"/>
          <w:kern w:val="2"/>
          <w:sz w:val="32"/>
          <w:szCs w:val="32"/>
          <w:shd w:val="clear" w:color="auto" w:fill="FFFFFF"/>
          <w:lang w:val="en-US" w:eastAsia="zh-CN" w:bidi="ar-SA"/>
        </w:rPr>
        <w:t>（此件公开发布）</w:t>
      </w:r>
    </w:p>
    <w:p w14:paraId="48718475">
      <w:pPr>
        <w:pageBreakBefore w:val="0"/>
        <w:kinsoku/>
        <w:overflowPunct/>
        <w:topLinePunct w:val="0"/>
        <w:bidi w:val="0"/>
        <w:spacing w:line="600" w:lineRule="exact"/>
        <w:rPr>
          <w:rFonts w:hint="eastAsia" w:ascii="仿宋_GB2312" w:hAnsi="仿宋_GB2312" w:eastAsia="仿宋_GB2312" w:cs="仿宋_GB2312"/>
          <w:b w:val="0"/>
          <w:i w:val="0"/>
          <w:sz w:val="32"/>
          <w:szCs w:val="32"/>
        </w:rPr>
      </w:pPr>
    </w:p>
    <w:sectPr>
      <w:headerReference r:id="rId3" w:type="default"/>
      <w:footerReference r:id="rId4" w:type="default"/>
      <w:pgSz w:w="11906" w:h="16838"/>
      <w:pgMar w:top="1191" w:right="822" w:bottom="1191" w:left="1417" w:header="720" w:footer="720"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书宋简体">
    <w:altName w:val="宋体"/>
    <w:panose1 w:val="03000509000000000000"/>
    <w:charset w:val="86"/>
    <w:family w:val="script"/>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8AC93">
    <w:pPr>
      <w:pStyle w:val="6"/>
      <w:spacing w:line="14" w:lineRule="auto"/>
      <w:rPr>
        <w:sz w:val="20"/>
      </w:rPr>
    </w:pPr>
    <w:r>
      <w:rPr>
        <w:sz w:val="20"/>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AEA3B9">
                          <w:pPr>
                            <w:pStyle w:val="7"/>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- 9 -</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36AEA3B9">
                    <w:pPr>
                      <w:pStyle w:val="7"/>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- 9 -</w:t>
                    </w:r>
                    <w:r>
                      <w:rPr>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1E422">
    <w:pPr>
      <w:pStyle w:val="8"/>
      <w:keepNext w:val="0"/>
      <w:keepLines w:val="0"/>
      <w:pageBreakBefore w:val="0"/>
      <w:widowControl w:val="0"/>
      <w:pBdr>
        <w:bottom w:val="none" w:color="auto" w:sz="0" w:space="1"/>
      </w:pBdr>
      <w:kinsoku/>
      <w:wordWrap/>
      <w:overflowPunct/>
      <w:topLinePunct w:val="0"/>
      <w:autoSpaceDE/>
      <w:autoSpaceDN/>
      <w:bidi w:val="0"/>
      <w:adjustRightInd/>
      <w:snapToGrid w:val="0"/>
      <w:jc w:val="both"/>
      <w:textAlignment w:val="center"/>
      <w:rPr>
        <w:rFonts w:hint="eastAsia" w:ascii="宋体" w:hAnsi="宋体" w:eastAsia="宋体" w:cs="宋体"/>
        <w:b/>
        <w:bCs/>
        <w:color w:val="005192"/>
        <w:sz w:val="32"/>
      </w:rPr>
    </w:pPr>
  </w:p>
  <w:p w14:paraId="60B07AA3">
    <w:pPr>
      <w:pStyle w:val="8"/>
      <w:keepNext w:val="0"/>
      <w:keepLines w:val="0"/>
      <w:pageBreakBefore w:val="0"/>
      <w:widowControl w:val="0"/>
      <w:pBdr>
        <w:bottom w:val="none" w:color="auto" w:sz="0" w:space="1"/>
      </w:pBdr>
      <w:kinsoku/>
      <w:wordWrap/>
      <w:overflowPunct/>
      <w:topLinePunct w:val="0"/>
      <w:autoSpaceDE/>
      <w:autoSpaceDN/>
      <w:bidi w:val="0"/>
      <w:adjustRightInd/>
      <w:snapToGrid w:val="0"/>
      <w:jc w:val="left"/>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5240" b="15240"/>
          <wp:docPr id="48" name="图片 48"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国徽1024"/>
                  <pic:cNvPicPr>
                    <a:picLocks noChangeAspect="1"/>
                  </pic:cNvPicPr>
                </pic:nvPicPr>
                <pic:blipFill>
                  <a:blip r:embed="rId1"/>
                  <a:stretch>
                    <a:fillRect/>
                  </a:stretch>
                </pic:blipFill>
                <pic:spPr>
                  <a:xfrm>
                    <a:off x="0" y="0"/>
                    <a:ext cx="308610" cy="308610"/>
                  </a:xfrm>
                  <a:prstGeom prst="rect">
                    <a:avLst/>
                  </a:prstGeom>
                  <a:noFill/>
                  <a:ln>
                    <a:noFill/>
                  </a:ln>
                </pic:spPr>
              </pic:pic>
            </a:graphicData>
          </a:graphic>
        </wp:inline>
      </w:drawing>
    </w:r>
    <w:r>
      <w:rPr>
        <w:rFonts w:hint="eastAsia" w:ascii="宋体" w:hAnsi="宋体" w:cs="宋体"/>
        <w:b/>
        <w:bCs/>
        <w:color w:val="005192"/>
        <w:sz w:val="32"/>
        <w:lang w:eastAsia="zh-CN"/>
      </w:rPr>
      <w:t>云南</w:t>
    </w:r>
    <w:r>
      <w:rPr>
        <w:rFonts w:hint="eastAsia" w:ascii="宋体" w:hAnsi="宋体" w:eastAsia="宋体" w:cs="宋体"/>
        <w:b/>
        <w:bCs/>
        <w:color w:val="005192"/>
        <w:sz w:val="32"/>
        <w:szCs w:val="32"/>
        <w:lang w:val="en-US" w:eastAsia="zh-CN"/>
      </w:rPr>
      <w:t>省</w:t>
    </w:r>
    <w:r>
      <w:rPr>
        <w:rFonts w:hint="eastAsia" w:ascii="宋体" w:hAnsi="宋体" w:cs="宋体"/>
        <w:b/>
        <w:bCs/>
        <w:color w:val="005192"/>
        <w:sz w:val="32"/>
        <w:szCs w:val="32"/>
        <w:lang w:val="en-US" w:eastAsia="zh-CN"/>
      </w:rPr>
      <w:t>卫生健康委员会行政规范性文件</w:t>
    </w:r>
  </w:p>
  <w:p w14:paraId="7F735EC1">
    <w:pPr>
      <w:pStyle w:val="8"/>
      <w:pBdr>
        <w:bottom w:val="none" w:color="auto" w:sz="0" w:space="1"/>
      </w:pBdr>
      <w:jc w:val="both"/>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175895</wp:posOffset>
              </wp:positionV>
              <wp:extent cx="5620385" cy="0"/>
              <wp:effectExtent l="0" t="10795" r="18415" b="17780"/>
              <wp:wrapNone/>
              <wp:docPr id="47" name="直接连接符 47"/>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3pt;margin-top:13.85pt;height:0pt;width:442.55pt;z-index:251660288;mso-width-relative:page;mso-height-relative:page;" filled="f" stroked="t" coordsize="21600,21600" o:gfxdata="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LmZIb0wAAAAcBAAAPAAAAAAAAAAEAIAAAACIAAABkcnMvZG93bnJldi54bWxQSwEC&#10;FAAUAAAACACHTuJAvmh8PfkBAADNAwAADgAAAAAAAAABACAAAAAiAQAAZHJzL2Uyb0RvYy54bWxQ&#10;SwUGAAAAAAYABgBZAQAAjQUAAAAA&#10;">
              <v:fill on="f" focussize="0,0"/>
              <v:stroke weight="1.75pt" color="#005192" miterlimit="8" joinstyle="miter"/>
              <v:imagedata o:title=""/>
              <o:lock v:ext="edit" aspectratio="f"/>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RkYTM4YTMxOGRiNzMyMjY5MDU3ZDY4YmQxNGRiNTMifQ=="/>
  </w:docVars>
  <w:rsids>
    <w:rsidRoot w:val="00172A27"/>
    <w:rsid w:val="01DC6CA5"/>
    <w:rsid w:val="022914B9"/>
    <w:rsid w:val="026F4B4E"/>
    <w:rsid w:val="037631EC"/>
    <w:rsid w:val="046B3792"/>
    <w:rsid w:val="06254F40"/>
    <w:rsid w:val="069961D5"/>
    <w:rsid w:val="076401F4"/>
    <w:rsid w:val="076B2BCF"/>
    <w:rsid w:val="08FE2514"/>
    <w:rsid w:val="093476CA"/>
    <w:rsid w:val="09BF1E8A"/>
    <w:rsid w:val="0A7A050D"/>
    <w:rsid w:val="0AA62AD1"/>
    <w:rsid w:val="0ABD4A87"/>
    <w:rsid w:val="0AFA4F36"/>
    <w:rsid w:val="0FB5381D"/>
    <w:rsid w:val="0FFB51FF"/>
    <w:rsid w:val="104011AD"/>
    <w:rsid w:val="104650B3"/>
    <w:rsid w:val="1051085B"/>
    <w:rsid w:val="105A2A45"/>
    <w:rsid w:val="11745719"/>
    <w:rsid w:val="11D8006F"/>
    <w:rsid w:val="120A3C6C"/>
    <w:rsid w:val="12E55129"/>
    <w:rsid w:val="13DE0105"/>
    <w:rsid w:val="14ED1FA1"/>
    <w:rsid w:val="1524304F"/>
    <w:rsid w:val="16EA5721"/>
    <w:rsid w:val="1714382D"/>
    <w:rsid w:val="1728317E"/>
    <w:rsid w:val="17F2325D"/>
    <w:rsid w:val="18772740"/>
    <w:rsid w:val="187975C4"/>
    <w:rsid w:val="189B6AEC"/>
    <w:rsid w:val="19257F5C"/>
    <w:rsid w:val="197850F7"/>
    <w:rsid w:val="1BA81BFB"/>
    <w:rsid w:val="1BF013F7"/>
    <w:rsid w:val="1C316C17"/>
    <w:rsid w:val="1CB14A77"/>
    <w:rsid w:val="1D3B1B75"/>
    <w:rsid w:val="1DD41D11"/>
    <w:rsid w:val="1E565E89"/>
    <w:rsid w:val="1FEF64B1"/>
    <w:rsid w:val="2047684C"/>
    <w:rsid w:val="21742C80"/>
    <w:rsid w:val="21787096"/>
    <w:rsid w:val="21A74233"/>
    <w:rsid w:val="21BC318D"/>
    <w:rsid w:val="23A312A1"/>
    <w:rsid w:val="24EE1B49"/>
    <w:rsid w:val="2512545B"/>
    <w:rsid w:val="25534FAD"/>
    <w:rsid w:val="25911433"/>
    <w:rsid w:val="25F8732E"/>
    <w:rsid w:val="270E23E1"/>
    <w:rsid w:val="27FA7FAF"/>
    <w:rsid w:val="294C7B70"/>
    <w:rsid w:val="29723D17"/>
    <w:rsid w:val="2A6E4BD5"/>
    <w:rsid w:val="2A7A37A4"/>
    <w:rsid w:val="2ABF4DA3"/>
    <w:rsid w:val="2ACD2473"/>
    <w:rsid w:val="2B7C59CB"/>
    <w:rsid w:val="2B81639C"/>
    <w:rsid w:val="2C0941DC"/>
    <w:rsid w:val="2C696DBE"/>
    <w:rsid w:val="2CFC4128"/>
    <w:rsid w:val="2DC1677B"/>
    <w:rsid w:val="2EED62D6"/>
    <w:rsid w:val="2F013A52"/>
    <w:rsid w:val="2F291C78"/>
    <w:rsid w:val="2F640A88"/>
    <w:rsid w:val="316D208E"/>
    <w:rsid w:val="318800E3"/>
    <w:rsid w:val="31BE28A4"/>
    <w:rsid w:val="325B1DDF"/>
    <w:rsid w:val="33115863"/>
    <w:rsid w:val="34CB300B"/>
    <w:rsid w:val="351E34EA"/>
    <w:rsid w:val="3659787A"/>
    <w:rsid w:val="37273A8A"/>
    <w:rsid w:val="380C5DFA"/>
    <w:rsid w:val="381D4A73"/>
    <w:rsid w:val="382166A7"/>
    <w:rsid w:val="389E17DE"/>
    <w:rsid w:val="38D47E04"/>
    <w:rsid w:val="38D76B13"/>
    <w:rsid w:val="39932868"/>
    <w:rsid w:val="39A33E9A"/>
    <w:rsid w:val="3A9C74FA"/>
    <w:rsid w:val="3C390F6B"/>
    <w:rsid w:val="3CB43F6B"/>
    <w:rsid w:val="3CDB0139"/>
    <w:rsid w:val="3F4F7231"/>
    <w:rsid w:val="3F5C7C93"/>
    <w:rsid w:val="3FFA0DA1"/>
    <w:rsid w:val="407E0CE1"/>
    <w:rsid w:val="407F56BA"/>
    <w:rsid w:val="409533AA"/>
    <w:rsid w:val="41070E66"/>
    <w:rsid w:val="417B31CF"/>
    <w:rsid w:val="424774D6"/>
    <w:rsid w:val="426E6985"/>
    <w:rsid w:val="43C75370"/>
    <w:rsid w:val="44253010"/>
    <w:rsid w:val="44537996"/>
    <w:rsid w:val="445B3C55"/>
    <w:rsid w:val="4507067C"/>
    <w:rsid w:val="4555071C"/>
    <w:rsid w:val="477D26B1"/>
    <w:rsid w:val="49070AE1"/>
    <w:rsid w:val="49797E8C"/>
    <w:rsid w:val="49BF7979"/>
    <w:rsid w:val="49C52F18"/>
    <w:rsid w:val="4ABD3FF6"/>
    <w:rsid w:val="4ACD3193"/>
    <w:rsid w:val="4ADB72BA"/>
    <w:rsid w:val="4C163D41"/>
    <w:rsid w:val="4CA87699"/>
    <w:rsid w:val="4D7969E5"/>
    <w:rsid w:val="4DB20A8B"/>
    <w:rsid w:val="4FA82C99"/>
    <w:rsid w:val="506E476E"/>
    <w:rsid w:val="5101361E"/>
    <w:rsid w:val="513B394C"/>
    <w:rsid w:val="52362E3C"/>
    <w:rsid w:val="524830A2"/>
    <w:rsid w:val="549C486F"/>
    <w:rsid w:val="5624193E"/>
    <w:rsid w:val="56794E8E"/>
    <w:rsid w:val="599417A6"/>
    <w:rsid w:val="59C3464B"/>
    <w:rsid w:val="5A164EE2"/>
    <w:rsid w:val="5A7A5991"/>
    <w:rsid w:val="5AE96334"/>
    <w:rsid w:val="5B225B23"/>
    <w:rsid w:val="5D624DB8"/>
    <w:rsid w:val="5DE15CF3"/>
    <w:rsid w:val="5F355563"/>
    <w:rsid w:val="600C184F"/>
    <w:rsid w:val="6040755B"/>
    <w:rsid w:val="606F4356"/>
    <w:rsid w:val="61820227"/>
    <w:rsid w:val="620C04DB"/>
    <w:rsid w:val="623553B7"/>
    <w:rsid w:val="62524D4F"/>
    <w:rsid w:val="638828EA"/>
    <w:rsid w:val="63BD3EBA"/>
    <w:rsid w:val="646A376E"/>
    <w:rsid w:val="6591396A"/>
    <w:rsid w:val="67254545"/>
    <w:rsid w:val="678640E7"/>
    <w:rsid w:val="692478A8"/>
    <w:rsid w:val="69CD0190"/>
    <w:rsid w:val="6A065CFC"/>
    <w:rsid w:val="6A9F07BD"/>
    <w:rsid w:val="6AA66F25"/>
    <w:rsid w:val="6B5A0798"/>
    <w:rsid w:val="6CDB7248"/>
    <w:rsid w:val="6CF25165"/>
    <w:rsid w:val="6D631D83"/>
    <w:rsid w:val="6E415E28"/>
    <w:rsid w:val="70400354"/>
    <w:rsid w:val="710E17A4"/>
    <w:rsid w:val="71365BD2"/>
    <w:rsid w:val="7178540A"/>
    <w:rsid w:val="731B1E80"/>
    <w:rsid w:val="738736A3"/>
    <w:rsid w:val="73A76124"/>
    <w:rsid w:val="73DB2866"/>
    <w:rsid w:val="7419203F"/>
    <w:rsid w:val="743C67D9"/>
    <w:rsid w:val="75A54F43"/>
    <w:rsid w:val="7664200C"/>
    <w:rsid w:val="77743396"/>
    <w:rsid w:val="778B45A3"/>
    <w:rsid w:val="78730D11"/>
    <w:rsid w:val="790D1E76"/>
    <w:rsid w:val="79AF6098"/>
    <w:rsid w:val="7A6D6C95"/>
    <w:rsid w:val="7ABD53E8"/>
    <w:rsid w:val="7CA953D5"/>
    <w:rsid w:val="7F2808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zh-CN" w:bidi="ar-SA"/>
    </w:rPr>
  </w:style>
  <w:style w:type="paragraph" w:styleId="2">
    <w:name w:val="heading 1"/>
    <w:basedOn w:val="1"/>
    <w:next w:val="1"/>
    <w:qFormat/>
    <w:uiPriority w:val="1"/>
    <w:pPr>
      <w:ind w:right="600"/>
      <w:jc w:val="center"/>
      <w:outlineLvl w:val="0"/>
    </w:pPr>
    <w:rPr>
      <w:sz w:val="44"/>
      <w:szCs w:val="44"/>
    </w:rPr>
  </w:style>
  <w:style w:type="paragraph" w:styleId="3">
    <w:name w:val="heading 2"/>
    <w:basedOn w:val="1"/>
    <w:next w:val="1"/>
    <w:qFormat/>
    <w:uiPriority w:val="1"/>
    <w:pPr>
      <w:spacing w:line="575" w:lineRule="exact"/>
      <w:ind w:left="380"/>
      <w:outlineLvl w:val="1"/>
    </w:pPr>
    <w:rPr>
      <w:rFonts w:ascii="微软雅黑" w:hAnsi="微软雅黑" w:eastAsia="微软雅黑" w:cs="微软雅黑"/>
      <w:b/>
      <w:bCs/>
      <w:sz w:val="32"/>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qFormat/>
    <w:uiPriority w:val="1"/>
    <w:rPr>
      <w:sz w:val="32"/>
      <w:szCs w:val="32"/>
    </w:rPr>
  </w:style>
  <w:style w:type="paragraph" w:styleId="7">
    <w:name w:val="footer"/>
    <w:basedOn w:val="1"/>
    <w:qFormat/>
    <w:uiPriority w:val="0"/>
    <w:pPr>
      <w:tabs>
        <w:tab w:val="center" w:pos="4153"/>
        <w:tab w:val="right" w:pos="8306"/>
      </w:tabs>
      <w:snapToGrid w:val="0"/>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toc 1"/>
    <w:basedOn w:val="1"/>
    <w:next w:val="1"/>
    <w:qFormat/>
    <w:uiPriority w:val="1"/>
    <w:pPr>
      <w:spacing w:before="149"/>
      <w:ind w:left="380"/>
    </w:pPr>
    <w:rPr>
      <w:rFonts w:ascii="黑体" w:hAnsi="黑体" w:eastAsia="黑体" w:cs="黑体"/>
      <w:sz w:val="32"/>
      <w:szCs w:val="32"/>
    </w:rPr>
  </w:style>
  <w:style w:type="paragraph" w:styleId="10">
    <w:name w:val="toc 2"/>
    <w:basedOn w:val="1"/>
    <w:next w:val="1"/>
    <w:qFormat/>
    <w:uiPriority w:val="1"/>
    <w:pPr>
      <w:spacing w:before="149"/>
      <w:ind w:left="1020"/>
    </w:pPr>
    <w:rPr>
      <w:sz w:val="32"/>
      <w:szCs w:val="32"/>
    </w:rPr>
  </w:style>
  <w:style w:type="paragraph" w:styleId="11">
    <w:name w:val="Title"/>
    <w:basedOn w:val="1"/>
    <w:qFormat/>
    <w:uiPriority w:val="1"/>
    <w:pPr>
      <w:spacing w:before="52"/>
      <w:ind w:left="2688" w:right="1380" w:hanging="1824"/>
    </w:pPr>
    <w:rPr>
      <w:sz w:val="52"/>
      <w:szCs w:val="52"/>
    </w:rPr>
  </w:style>
  <w:style w:type="paragraph" w:customStyle="1" w:styleId="14">
    <w:name w:val="列表段落1"/>
    <w:basedOn w:val="1"/>
    <w:qFormat/>
    <w:uiPriority w:val="1"/>
    <w:pPr>
      <w:ind w:left="703" w:hanging="324"/>
    </w:pPr>
  </w:style>
  <w:style w:type="paragraph" w:styleId="15">
    <w:name w:val="List Paragraph"/>
    <w:basedOn w:val="1"/>
    <w:qFormat/>
    <w:uiPriority w:val="99"/>
    <w:pPr>
      <w:ind w:firstLine="420" w:firstLineChars="200"/>
    </w:pPr>
  </w:style>
  <w:style w:type="character" w:customStyle="1" w:styleId="16">
    <w:name w:val="font71"/>
    <w:basedOn w:val="13"/>
    <w:qFormat/>
    <w:uiPriority w:val="0"/>
    <w:rPr>
      <w:rFonts w:hint="eastAsia" w:ascii="微软雅黑" w:hAnsi="微软雅黑" w:eastAsia="微软雅黑" w:cs="微软雅黑"/>
      <w:color w:val="FF0000"/>
      <w:sz w:val="20"/>
      <w:szCs w:val="20"/>
      <w:u w:val="none"/>
    </w:rPr>
  </w:style>
  <w:style w:type="character" w:customStyle="1" w:styleId="17">
    <w:name w:val="font21"/>
    <w:basedOn w:val="13"/>
    <w:qFormat/>
    <w:uiPriority w:val="0"/>
    <w:rPr>
      <w:rFonts w:hint="eastAsia" w:ascii="微软雅黑" w:hAnsi="微软雅黑" w:eastAsia="微软雅黑" w:cs="微软雅黑"/>
      <w:color w:val="000000"/>
      <w:sz w:val="20"/>
      <w:szCs w:val="20"/>
      <w:u w:val="none"/>
    </w:rPr>
  </w:style>
  <w:style w:type="character" w:customStyle="1" w:styleId="18">
    <w:name w:val="font91"/>
    <w:basedOn w:val="13"/>
    <w:qFormat/>
    <w:uiPriority w:val="0"/>
    <w:rPr>
      <w:rFonts w:hint="eastAsia" w:ascii="微软雅黑" w:hAnsi="微软雅黑" w:eastAsia="微软雅黑" w:cs="微软雅黑"/>
      <w:color w:val="000000"/>
      <w:sz w:val="20"/>
      <w:szCs w:val="20"/>
      <w:u w:val="none"/>
    </w:rPr>
  </w:style>
  <w:style w:type="paragraph" w:customStyle="1" w:styleId="19">
    <w:name w:val="一级标题（二号小标宋）"/>
    <w:basedOn w:val="1"/>
    <w:qFormat/>
    <w:uiPriority w:val="0"/>
    <w:pPr>
      <w:widowControl/>
      <w:jc w:val="center"/>
    </w:pPr>
    <w:rPr>
      <w:rFonts w:ascii="方正书宋简体" w:hAnsi="方正书宋简体" w:eastAsia="方正小标宋_GBK"/>
      <w:color w:val="000000"/>
      <w:kern w:val="0"/>
      <w:sz w:val="42"/>
      <w:szCs w:val="4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2404</Words>
  <Characters>2430</Characters>
  <Lines>0</Lines>
  <Paragraphs>0</Paragraphs>
  <TotalTime>2</TotalTime>
  <ScaleCrop>false</ScaleCrop>
  <LinksUpToDate>false</LinksUpToDate>
  <CharactersWithSpaces>2443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2022-01-03T12:29:00Z</dcterms:created>
  <dc:creator>dell</dc:creator>
  <cp:lastModifiedBy>李纹秀</cp:lastModifiedBy>
  <cp:lastPrinted>2022-01-20T07:31:00Z</cp:lastPrinted>
  <dcterms:modified xsi:type="dcterms:W3CDTF">2026-09-29T08:14:02Z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CF8C6E4E604547819777C5652E5DD6B4_13</vt:lpwstr>
  </property>
  <property fmtid="{D5CDD505-2E9C-101B-9397-08002B2CF9AE}" pid="4" name="KSOTemplateDocerSaveRecord">
    <vt:lpwstr>eyJoZGlkIjoiMmE3OTZkZDVkMzliNmM4OThlNTFhNDU0OGYxMTE5NzkiLCJ1c2VySWQiOiIyNzY2MTE3MDYifQ==</vt:lpwstr>
  </property>
</Properties>
</file>