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A0DA7A">
      <w:pPr>
        <w:ind w:left="0" w:leftChars="0" w:firstLine="0" w:firstLineChars="0"/>
        <w:rPr>
          <w:rFonts w:hint="eastAsia" w:ascii="方正黑体_GBK" w:hAnsi="方正黑体_GBK" w:eastAsia="方正黑体_GBK" w:cs="方正黑体_GBK"/>
        </w:rPr>
      </w:pPr>
      <w:r>
        <w:rPr>
          <w:rFonts w:hint="eastAsia" w:ascii="方正黑体_GBK" w:hAnsi="方正黑体_GBK" w:eastAsia="方正黑体_GBK" w:cs="方正黑体_GBK"/>
        </w:rPr>
        <w:t>附件1</w:t>
      </w:r>
    </w:p>
    <w:p w14:paraId="02592D15">
      <w:pPr>
        <w:ind w:left="0" w:leftChars="0" w:firstLine="0" w:firstLineChars="0"/>
        <w:rPr>
          <w:rFonts w:hint="eastAsia" w:ascii="方正黑体_GBK" w:hAnsi="方正黑体_GBK" w:eastAsia="方正黑体_GBK" w:cs="方正黑体_GBK"/>
        </w:rPr>
      </w:pPr>
    </w:p>
    <w:p w14:paraId="14601CFB">
      <w:pPr>
        <w:pStyle w:val="2"/>
        <w:bidi w:val="0"/>
        <w:rPr>
          <w:rFonts w:hint="eastAsia"/>
        </w:rPr>
      </w:pPr>
      <w:r>
        <w:rPr>
          <w:rFonts w:hint="eastAsia"/>
        </w:rPr>
        <w:t>云南省就医服务“一件事”办事指南</w:t>
      </w:r>
    </w:p>
    <w:p w14:paraId="67C51D12">
      <w:pPr>
        <w:rPr>
          <w:rFonts w:hint="eastAsia"/>
        </w:rPr>
      </w:pPr>
    </w:p>
    <w:p w14:paraId="508E266B">
      <w:pPr>
        <w:pStyle w:val="3"/>
        <w:bidi w:val="0"/>
        <w:rPr>
          <w:rFonts w:hint="eastAsia"/>
        </w:rPr>
      </w:pPr>
      <w:r>
        <w:rPr>
          <w:rFonts w:hint="eastAsia"/>
        </w:rPr>
        <w:t>一、基本信息</w:t>
      </w:r>
    </w:p>
    <w:p w14:paraId="61C72A29">
      <w:pPr>
        <w:rPr>
          <w:rFonts w:hint="eastAsia"/>
        </w:rPr>
      </w:pPr>
      <w:r>
        <w:rPr>
          <w:rFonts w:hint="eastAsia"/>
        </w:rPr>
        <w:t>1.事项名称：就医服务“一件事”</w:t>
      </w:r>
    </w:p>
    <w:p w14:paraId="35CEBD23">
      <w:pPr>
        <w:rPr>
          <w:rFonts w:hint="eastAsia"/>
        </w:rPr>
      </w:pPr>
      <w:r>
        <w:rPr>
          <w:rFonts w:hint="eastAsia"/>
        </w:rPr>
        <w:t>2.牵头单位：省卫生健康委</w:t>
      </w:r>
    </w:p>
    <w:p w14:paraId="243E4C38">
      <w:pPr>
        <w:rPr>
          <w:rFonts w:hint="eastAsia"/>
        </w:rPr>
      </w:pPr>
      <w:r>
        <w:rPr>
          <w:rFonts w:hint="eastAsia"/>
        </w:rPr>
        <w:t>3.涉及事项：</w:t>
      </w:r>
    </w:p>
    <w:p w14:paraId="3E1AE20D">
      <w:pPr>
        <w:rPr>
          <w:rFonts w:hint="eastAsia"/>
        </w:rPr>
      </w:pPr>
      <w:r>
        <w:rPr>
          <w:rFonts w:hint="eastAsia"/>
        </w:rPr>
        <w:t>（1）居民电子健康卡申领</w:t>
      </w:r>
    </w:p>
    <w:p w14:paraId="3309D058">
      <w:pPr>
        <w:rPr>
          <w:rFonts w:hint="eastAsia"/>
        </w:rPr>
      </w:pPr>
      <w:r>
        <w:rPr>
          <w:rFonts w:hint="eastAsia"/>
        </w:rPr>
        <w:t>（2）预约挂号</w:t>
      </w:r>
    </w:p>
    <w:p w14:paraId="25F24BF1">
      <w:pPr>
        <w:rPr>
          <w:rFonts w:hint="eastAsia"/>
        </w:rPr>
      </w:pPr>
      <w:r>
        <w:rPr>
          <w:rFonts w:hint="eastAsia"/>
        </w:rPr>
        <w:t>（3）检查结果报告查询</w:t>
      </w:r>
    </w:p>
    <w:p w14:paraId="0A6AC6D9">
      <w:pPr>
        <w:rPr>
          <w:rFonts w:hint="eastAsia"/>
        </w:rPr>
      </w:pPr>
      <w:r>
        <w:rPr>
          <w:rFonts w:hint="eastAsia"/>
        </w:rPr>
        <w:t>（4）检验结果报告查询</w:t>
      </w:r>
    </w:p>
    <w:p w14:paraId="3831140E">
      <w:pPr>
        <w:rPr>
          <w:rFonts w:hint="eastAsia"/>
        </w:rPr>
      </w:pPr>
      <w:r>
        <w:rPr>
          <w:rFonts w:hint="eastAsia"/>
        </w:rPr>
        <w:t>4.审批（服务）层级：省、州（市）、县（市、区）、乡镇级</w:t>
      </w:r>
    </w:p>
    <w:p w14:paraId="0C768A46">
      <w:pPr>
        <w:rPr>
          <w:rFonts w:hint="eastAsia"/>
        </w:rPr>
      </w:pPr>
      <w:r>
        <w:rPr>
          <w:rFonts w:hint="eastAsia"/>
        </w:rPr>
        <w:t>5.服务对象：自然人</w:t>
      </w:r>
    </w:p>
    <w:p w14:paraId="4074EEE6">
      <w:pPr>
        <w:rPr>
          <w:rFonts w:hint="eastAsia"/>
        </w:rPr>
      </w:pPr>
      <w:r>
        <w:rPr>
          <w:rFonts w:hint="eastAsia"/>
        </w:rPr>
        <w:t>6.办理形式：网上办理</w:t>
      </w:r>
    </w:p>
    <w:p w14:paraId="1D203035">
      <w:pPr>
        <w:rPr>
          <w:rFonts w:hint="eastAsia"/>
        </w:rPr>
      </w:pPr>
      <w:r>
        <w:rPr>
          <w:rFonts w:hint="eastAsia"/>
        </w:rPr>
        <w:t>7.法定办结时限：即时办结</w:t>
      </w:r>
    </w:p>
    <w:p w14:paraId="2079EA7B">
      <w:pPr>
        <w:rPr>
          <w:rFonts w:hint="eastAsia"/>
        </w:rPr>
      </w:pPr>
      <w:r>
        <w:rPr>
          <w:rFonts w:hint="eastAsia"/>
        </w:rPr>
        <w:t>8.承诺审批（办结）时限：即时办结</w:t>
      </w:r>
    </w:p>
    <w:p w14:paraId="6A7D6D72">
      <w:pPr>
        <w:rPr>
          <w:rFonts w:hint="eastAsia"/>
        </w:rPr>
      </w:pPr>
      <w:r>
        <w:rPr>
          <w:rFonts w:hint="eastAsia"/>
        </w:rPr>
        <w:t>9.是否收费：否</w:t>
      </w:r>
    </w:p>
    <w:p w14:paraId="654A11CC">
      <w:pPr>
        <w:rPr>
          <w:rFonts w:hint="eastAsia"/>
        </w:rPr>
      </w:pPr>
      <w:r>
        <w:rPr>
          <w:rFonts w:hint="eastAsia"/>
        </w:rPr>
        <w:t>10.中介服务事项名称：无</w:t>
      </w:r>
    </w:p>
    <w:p w14:paraId="455763E9">
      <w:pPr>
        <w:rPr>
          <w:rFonts w:hint="eastAsia"/>
        </w:rPr>
      </w:pPr>
      <w:r>
        <w:rPr>
          <w:rFonts w:hint="eastAsia"/>
        </w:rPr>
        <w:t>11.是否需要勘验、组织听证、专家评审、检测：否</w:t>
      </w:r>
    </w:p>
    <w:p w14:paraId="47A75918">
      <w:pPr>
        <w:rPr>
          <w:rFonts w:hint="eastAsia"/>
        </w:rPr>
      </w:pPr>
      <w:r>
        <w:rPr>
          <w:rFonts w:hint="eastAsia"/>
        </w:rPr>
        <w:t>12.审批机关是否委托服务机构开展技术性服务（名称）：否</w:t>
      </w:r>
    </w:p>
    <w:p w14:paraId="18D4B68B">
      <w:pPr>
        <w:rPr>
          <w:rFonts w:hint="eastAsia"/>
        </w:rPr>
      </w:pPr>
      <w:r>
        <w:rPr>
          <w:rFonts w:hint="eastAsia"/>
        </w:rPr>
        <w:t>13.是否实行告知承诺办理：否</w:t>
      </w:r>
    </w:p>
    <w:p w14:paraId="5AC64DB0">
      <w:pPr>
        <w:rPr>
          <w:rFonts w:hint="eastAsia"/>
        </w:rPr>
      </w:pPr>
      <w:r>
        <w:rPr>
          <w:rFonts w:hint="eastAsia"/>
        </w:rPr>
        <w:t>14.是否实行容缺办理：否</w:t>
      </w:r>
    </w:p>
    <w:p w14:paraId="729EB6F4">
      <w:pPr>
        <w:rPr>
          <w:rFonts w:hint="eastAsia"/>
        </w:rPr>
      </w:pPr>
      <w:r>
        <w:rPr>
          <w:rFonts w:hint="eastAsia"/>
        </w:rPr>
        <w:t>15.咨询方式：</w:t>
      </w:r>
    </w:p>
    <w:p w14:paraId="3AE71A14">
      <w:pPr>
        <w:rPr>
          <w:rFonts w:hint="eastAsia"/>
        </w:rPr>
      </w:pPr>
      <w:r>
        <w:rPr>
          <w:rFonts w:hint="eastAsia"/>
        </w:rPr>
        <w:t>（1）线上咨询：各线上办理渠道咨询入口、“一件事”业务系统咨询模块（由各地各机构填写具体咨询方式）；</w:t>
      </w:r>
    </w:p>
    <w:p w14:paraId="2F106CDE">
      <w:pPr>
        <w:rPr>
          <w:rFonts w:hint="eastAsia"/>
        </w:rPr>
      </w:pPr>
      <w:r>
        <w:rPr>
          <w:rFonts w:hint="eastAsia"/>
        </w:rPr>
        <w:t>（2）电话咨询：对应实施层级卫生健康部门咨询电话、各级医疗机构咨询电话、12345热线。</w:t>
      </w:r>
    </w:p>
    <w:p w14:paraId="1F7C2B11">
      <w:pPr>
        <w:rPr>
          <w:rFonts w:hint="eastAsia"/>
        </w:rPr>
      </w:pPr>
      <w:r>
        <w:rPr>
          <w:rFonts w:hint="eastAsia"/>
        </w:rPr>
        <w:t>16.办理时间：24小时全天候办理（系统维护时间除外）。</w:t>
      </w:r>
    </w:p>
    <w:p w14:paraId="47425E93">
      <w:pPr>
        <w:rPr>
          <w:rFonts w:hint="eastAsia"/>
        </w:rPr>
      </w:pPr>
      <w:r>
        <w:rPr>
          <w:rFonts w:hint="eastAsia"/>
        </w:rPr>
        <w:t>17</w:t>
      </w:r>
      <w:r>
        <w:rPr>
          <w:rFonts w:hint="eastAsia"/>
          <w:lang w:val="en-US" w:eastAsia="zh-CN"/>
        </w:rPr>
        <w:t>.</w:t>
      </w:r>
      <w:r>
        <w:rPr>
          <w:rFonts w:hint="eastAsia"/>
        </w:rPr>
        <w:t>办理地址：云南政务服务网、“云南省居民电子健康卡”小程序、各级各类医疗卫生机构公众号。</w:t>
      </w:r>
    </w:p>
    <w:p w14:paraId="000356A4">
      <w:pPr>
        <w:pStyle w:val="3"/>
        <w:bidi w:val="0"/>
        <w:rPr>
          <w:rFonts w:hint="eastAsia"/>
        </w:rPr>
      </w:pPr>
      <w:r>
        <w:rPr>
          <w:rFonts w:hint="eastAsia"/>
        </w:rPr>
        <w:t>二、设定和实施依据</w:t>
      </w:r>
    </w:p>
    <w:p w14:paraId="3C05E738">
      <w:pPr>
        <w:pStyle w:val="4"/>
        <w:bidi w:val="0"/>
        <w:rPr>
          <w:rFonts w:hint="eastAsia"/>
        </w:rPr>
      </w:pPr>
      <w:r>
        <w:rPr>
          <w:rFonts w:hint="eastAsia"/>
        </w:rPr>
        <w:t>（一）居民电子健康卡申领</w:t>
      </w:r>
    </w:p>
    <w:p w14:paraId="248837D1">
      <w:pPr>
        <w:rPr>
          <w:rFonts w:hint="eastAsia"/>
        </w:rPr>
      </w:pPr>
      <w:r>
        <w:rPr>
          <w:rFonts w:hint="eastAsia"/>
        </w:rPr>
        <w:t>《中华人民共和国基本医疗卫生与健康促进法》、《国家卫生健康委办公厅关于加快推进电子健康卡普及应用工作的意见》（国卫办规划发〔2018〕34号）。</w:t>
      </w:r>
    </w:p>
    <w:p w14:paraId="2108AA2F">
      <w:pPr>
        <w:pStyle w:val="4"/>
        <w:bidi w:val="0"/>
        <w:rPr>
          <w:rFonts w:hint="eastAsia"/>
        </w:rPr>
      </w:pPr>
      <w:r>
        <w:rPr>
          <w:rFonts w:hint="eastAsia"/>
        </w:rPr>
        <w:t>（二）预约挂号</w:t>
      </w:r>
    </w:p>
    <w:p w14:paraId="2DC9D7FD">
      <w:pPr>
        <w:rPr>
          <w:rFonts w:hint="eastAsia"/>
        </w:rPr>
      </w:pPr>
      <w:r>
        <w:rPr>
          <w:rFonts w:hint="eastAsia"/>
        </w:rPr>
        <w:t>《中华人民共和国基本医疗卫生与健康促进法》、《国家卫生健康委关于推进卫生健康领域“高效办成一件事”的实施意见》（国卫办发〔2024〕8号）、《云南省人民政府关于印发〈云南省进一步优化政务服务提升行政效能推动“高效办成一件事”实施方案〉的通知》（云政发〔2024〕15号）。</w:t>
      </w:r>
    </w:p>
    <w:p w14:paraId="63B6E60F">
      <w:pPr>
        <w:pStyle w:val="4"/>
        <w:bidi w:val="0"/>
        <w:rPr>
          <w:rFonts w:hint="eastAsia"/>
        </w:rPr>
      </w:pPr>
      <w:r>
        <w:rPr>
          <w:rFonts w:hint="eastAsia"/>
        </w:rPr>
        <w:t>（三）检查结果报告查询</w:t>
      </w:r>
    </w:p>
    <w:p w14:paraId="1850B0F4">
      <w:pPr>
        <w:rPr>
          <w:rFonts w:hint="eastAsia"/>
        </w:rPr>
      </w:pPr>
      <w:r>
        <w:rPr>
          <w:rFonts w:hint="eastAsia"/>
        </w:rPr>
        <w:t>《中华人民共和国基本医疗卫生与健康促进法》、《国家卫生健康委关于推进卫生健康领域“高效办成一件事”的实施意见》（国卫办发〔2024〕8号）、《云南省人民政府办公厅关于印发〈云南省“高效办成一件事”2026年度第一批重点事项清单〉的通知》（云政办函〔2026〕9号）。</w:t>
      </w:r>
    </w:p>
    <w:p w14:paraId="20B8E7FC">
      <w:pPr>
        <w:pStyle w:val="4"/>
        <w:bidi w:val="0"/>
        <w:rPr>
          <w:rFonts w:hint="eastAsia"/>
        </w:rPr>
      </w:pPr>
      <w:r>
        <w:rPr>
          <w:rFonts w:hint="eastAsia"/>
          <w:lang w:eastAsia="zh-CN"/>
        </w:rPr>
        <w:t>（四）</w:t>
      </w:r>
      <w:r>
        <w:rPr>
          <w:rFonts w:hint="eastAsia"/>
        </w:rPr>
        <w:t>检验结果报告查询</w:t>
      </w:r>
    </w:p>
    <w:p w14:paraId="2C8FA015">
      <w:pPr>
        <w:rPr>
          <w:rFonts w:hint="eastAsia"/>
        </w:rPr>
      </w:pPr>
      <w:r>
        <w:rPr>
          <w:rFonts w:hint="eastAsia"/>
        </w:rPr>
        <w:t>《中华人民共和国基本医疗卫生与健康促进法》、《国家卫生健康委关于推进卫生健康领域“高效办成一件事”的实施意见》（国卫办发〔2024〕8号）、《云南省人民政府办公厅关于印发〈云南省“高效办成一件事”2026年度第一批重点事项清单〉的通知》（云政办函〔2026〕9号）。</w:t>
      </w:r>
    </w:p>
    <w:p w14:paraId="72E58F5E">
      <w:pPr>
        <w:pStyle w:val="3"/>
        <w:bidi w:val="0"/>
        <w:rPr>
          <w:rFonts w:hint="eastAsia"/>
        </w:rPr>
      </w:pPr>
      <w:r>
        <w:rPr>
          <w:rFonts w:hint="eastAsia"/>
        </w:rPr>
        <w:t>三、办理条件</w:t>
      </w:r>
    </w:p>
    <w:p w14:paraId="6703D6FA">
      <w:pPr>
        <w:rPr>
          <w:rFonts w:hint="eastAsia"/>
        </w:rPr>
      </w:pPr>
      <w:r>
        <w:rPr>
          <w:rFonts w:hint="eastAsia"/>
        </w:rPr>
        <w:t>申请人为云南省内常住</w:t>
      </w:r>
      <w:r>
        <w:rPr>
          <w:rFonts w:hint="eastAsia"/>
          <w:lang w:eastAsia="zh-CN"/>
        </w:rPr>
        <w:t>中国籍公民</w:t>
      </w:r>
      <w:r>
        <w:rPr>
          <w:rFonts w:hint="eastAsia"/>
        </w:rPr>
        <w:t>（含户籍人口、流动人口），自愿办理相关就医服务事项。</w:t>
      </w:r>
      <w:r>
        <w:rPr>
          <w:rFonts w:hint="eastAsia"/>
          <w:lang w:eastAsia="zh-CN"/>
        </w:rPr>
        <w:t>已</w:t>
      </w:r>
      <w:r>
        <w:rPr>
          <w:rFonts w:hint="eastAsia"/>
        </w:rPr>
        <w:t>完成居民电子健康卡实名认证</w:t>
      </w:r>
      <w:r>
        <w:rPr>
          <w:rFonts w:hint="eastAsia"/>
          <w:lang w:eastAsia="zh-CN"/>
        </w:rPr>
        <w:t>的</w:t>
      </w:r>
      <w:r>
        <w:rPr>
          <w:rFonts w:hint="eastAsia"/>
        </w:rPr>
        <w:t>，无需额外提交材料。</w:t>
      </w:r>
    </w:p>
    <w:p w14:paraId="60A8AFEF">
      <w:pPr>
        <w:pStyle w:val="3"/>
        <w:bidi w:val="0"/>
        <w:rPr>
          <w:rFonts w:hint="eastAsia"/>
        </w:rPr>
        <w:sectPr>
          <w:footerReference r:id="rId5" w:type="default"/>
          <w:pgSz w:w="11906" w:h="16838"/>
          <w:pgMar w:top="2098" w:right="1587" w:bottom="1984" w:left="1800" w:header="851" w:footer="992" w:gutter="0"/>
          <w:pgNumType w:fmt="decimal"/>
          <w:cols w:space="0" w:num="1"/>
          <w:rtlGutter w:val="0"/>
          <w:docGrid w:type="lines" w:linePitch="312" w:charSpace="0"/>
        </w:sectPr>
      </w:pPr>
    </w:p>
    <w:p w14:paraId="54119EFD">
      <w:pPr>
        <w:pStyle w:val="3"/>
        <w:bidi w:val="0"/>
        <w:rPr>
          <w:rFonts w:hint="eastAsia"/>
        </w:rPr>
      </w:pPr>
      <w:r>
        <w:rPr>
          <w:rFonts w:hint="eastAsia"/>
        </w:rPr>
        <w:t>四、申请材料</w:t>
      </w:r>
    </w:p>
    <w:tbl>
      <w:tblPr>
        <w:tblStyle w:val="7"/>
        <w:tblW w:w="129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
        <w:gridCol w:w="1414"/>
        <w:gridCol w:w="1058"/>
        <w:gridCol w:w="913"/>
        <w:gridCol w:w="1049"/>
        <w:gridCol w:w="1034"/>
        <w:gridCol w:w="1235"/>
        <w:gridCol w:w="1050"/>
        <w:gridCol w:w="1849"/>
        <w:gridCol w:w="2477"/>
      </w:tblGrid>
      <w:tr w14:paraId="11FF7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vAlign w:val="center"/>
          </w:tcPr>
          <w:p w14:paraId="07D219A2">
            <w:pPr>
              <w:keepNext w:val="0"/>
              <w:keepLines w:val="0"/>
              <w:pageBreakBefore w:val="0"/>
              <w:widowControl w:val="0"/>
              <w:kinsoku/>
              <w:wordWrap/>
              <w:overflowPunct/>
              <w:topLinePunct w:val="0"/>
              <w:autoSpaceDE/>
              <w:autoSpaceDN/>
              <w:bidi w:val="0"/>
              <w:adjustRightInd/>
              <w:snapToGrid/>
              <w:spacing w:before="120" w:after="120" w:line="400" w:lineRule="exact"/>
              <w:ind w:left="0" w:firstLine="0" w:firstLineChars="0"/>
              <w:jc w:val="center"/>
              <w:textAlignment w:val="auto"/>
              <w:rPr>
                <w:rFonts w:hint="eastAsia" w:ascii="仿宋" w:hAnsi="仿宋" w:eastAsia="仿宋" w:cs="Times New Roman"/>
                <w:sz w:val="32"/>
                <w:szCs w:val="36"/>
                <w14:ligatures w14:val="standardContextual"/>
              </w:rPr>
            </w:pPr>
            <w:r>
              <w:rPr>
                <w:rFonts w:hint="eastAsia" w:ascii="仿宋" w:hAnsi="仿宋" w:eastAsia="方正仿宋_GBK" w:cs="Times New Roman"/>
                <w:sz w:val="32"/>
                <w:szCs w:val="36"/>
                <w14:ligatures w14:val="standardContextual"/>
              </w:rPr>
              <w:t>序号</w:t>
            </w:r>
          </w:p>
        </w:tc>
        <w:tc>
          <w:tcPr>
            <w:tcW w:w="1414" w:type="dxa"/>
            <w:vAlign w:val="center"/>
          </w:tcPr>
          <w:p w14:paraId="35350A49">
            <w:pPr>
              <w:keepNext w:val="0"/>
              <w:keepLines w:val="0"/>
              <w:pageBreakBefore w:val="0"/>
              <w:widowControl w:val="0"/>
              <w:kinsoku/>
              <w:wordWrap/>
              <w:overflowPunct/>
              <w:topLinePunct w:val="0"/>
              <w:autoSpaceDE/>
              <w:autoSpaceDN/>
              <w:bidi w:val="0"/>
              <w:adjustRightInd/>
              <w:snapToGrid/>
              <w:spacing w:before="120" w:after="120" w:line="400" w:lineRule="exact"/>
              <w:ind w:left="0" w:firstLine="0" w:firstLineChars="0"/>
              <w:jc w:val="center"/>
              <w:textAlignment w:val="auto"/>
              <w:rPr>
                <w:rFonts w:hint="eastAsia" w:ascii="仿宋" w:hAnsi="仿宋" w:eastAsia="仿宋" w:cs="Times New Roman"/>
                <w:sz w:val="32"/>
                <w:szCs w:val="36"/>
                <w14:ligatures w14:val="standardContextual"/>
              </w:rPr>
            </w:pPr>
            <w:r>
              <w:rPr>
                <w:rFonts w:hint="eastAsia" w:ascii="仿宋" w:hAnsi="仿宋" w:eastAsia="方正仿宋_GBK" w:cs="Times New Roman"/>
                <w:sz w:val="32"/>
                <w:szCs w:val="36"/>
                <w14:ligatures w14:val="standardContextual"/>
              </w:rPr>
              <w:t>材料名称</w:t>
            </w:r>
          </w:p>
        </w:tc>
        <w:tc>
          <w:tcPr>
            <w:tcW w:w="1058" w:type="dxa"/>
            <w:vAlign w:val="center"/>
          </w:tcPr>
          <w:p w14:paraId="3B0C0BCD">
            <w:pPr>
              <w:keepNext w:val="0"/>
              <w:keepLines w:val="0"/>
              <w:pageBreakBefore w:val="0"/>
              <w:widowControl w:val="0"/>
              <w:kinsoku/>
              <w:wordWrap/>
              <w:overflowPunct/>
              <w:topLinePunct w:val="0"/>
              <w:autoSpaceDE/>
              <w:autoSpaceDN/>
              <w:bidi w:val="0"/>
              <w:adjustRightInd/>
              <w:snapToGrid/>
              <w:spacing w:before="120" w:after="120" w:line="400" w:lineRule="exact"/>
              <w:ind w:left="0" w:firstLine="0" w:firstLineChars="0"/>
              <w:jc w:val="center"/>
              <w:textAlignment w:val="auto"/>
              <w:rPr>
                <w:rFonts w:hint="eastAsia" w:ascii="仿宋" w:hAnsi="仿宋" w:eastAsia="仿宋" w:cs="Times New Roman"/>
                <w:sz w:val="32"/>
                <w:szCs w:val="36"/>
                <w14:ligatures w14:val="standardContextual"/>
              </w:rPr>
            </w:pPr>
            <w:r>
              <w:rPr>
                <w:rFonts w:hint="eastAsia" w:ascii="仿宋" w:hAnsi="仿宋" w:eastAsia="方正仿宋_GBK" w:cs="Times New Roman"/>
                <w:sz w:val="32"/>
                <w:szCs w:val="36"/>
                <w14:ligatures w14:val="standardContextual"/>
              </w:rPr>
              <w:t>材料类型</w:t>
            </w:r>
          </w:p>
        </w:tc>
        <w:tc>
          <w:tcPr>
            <w:tcW w:w="913" w:type="dxa"/>
            <w:vAlign w:val="center"/>
          </w:tcPr>
          <w:p w14:paraId="5851C4E1">
            <w:pPr>
              <w:keepNext w:val="0"/>
              <w:keepLines w:val="0"/>
              <w:pageBreakBefore w:val="0"/>
              <w:widowControl w:val="0"/>
              <w:kinsoku/>
              <w:wordWrap/>
              <w:overflowPunct/>
              <w:topLinePunct w:val="0"/>
              <w:autoSpaceDE/>
              <w:autoSpaceDN/>
              <w:bidi w:val="0"/>
              <w:adjustRightInd/>
              <w:snapToGrid/>
              <w:spacing w:before="120" w:after="120" w:line="400" w:lineRule="exact"/>
              <w:ind w:left="0" w:firstLine="0" w:firstLineChars="0"/>
              <w:jc w:val="center"/>
              <w:textAlignment w:val="auto"/>
              <w:rPr>
                <w:rFonts w:hint="eastAsia" w:ascii="仿宋" w:hAnsi="仿宋" w:eastAsia="仿宋" w:cs="Times New Roman"/>
                <w:sz w:val="32"/>
                <w:szCs w:val="36"/>
                <w:lang w:eastAsia="zh-CN"/>
                <w14:ligatures w14:val="standardContextual"/>
              </w:rPr>
            </w:pPr>
            <w:r>
              <w:rPr>
                <w:rFonts w:hint="eastAsia" w:ascii="仿宋" w:hAnsi="仿宋" w:eastAsia="方正仿宋_GBK" w:cs="Times New Roman"/>
                <w:sz w:val="32"/>
                <w:szCs w:val="36"/>
                <w:lang w:eastAsia="zh-CN"/>
                <w14:ligatures w14:val="standardContextual"/>
              </w:rPr>
              <w:t>材料形式</w:t>
            </w:r>
          </w:p>
        </w:tc>
        <w:tc>
          <w:tcPr>
            <w:tcW w:w="1049" w:type="dxa"/>
            <w:vAlign w:val="center"/>
          </w:tcPr>
          <w:p w14:paraId="7E1AE40D">
            <w:pPr>
              <w:keepNext w:val="0"/>
              <w:keepLines w:val="0"/>
              <w:pageBreakBefore w:val="0"/>
              <w:widowControl w:val="0"/>
              <w:kinsoku/>
              <w:wordWrap/>
              <w:overflowPunct/>
              <w:topLinePunct w:val="0"/>
              <w:autoSpaceDE/>
              <w:autoSpaceDN/>
              <w:bidi w:val="0"/>
              <w:adjustRightInd/>
              <w:snapToGrid/>
              <w:spacing w:before="120" w:after="120" w:line="400" w:lineRule="exact"/>
              <w:ind w:left="0" w:firstLine="0" w:firstLineChars="0"/>
              <w:jc w:val="center"/>
              <w:textAlignment w:val="auto"/>
              <w:rPr>
                <w:rFonts w:hint="eastAsia" w:ascii="仿宋" w:hAnsi="仿宋" w:eastAsia="仿宋" w:cs="Times New Roman"/>
                <w:sz w:val="32"/>
                <w:szCs w:val="36"/>
                <w:lang w:eastAsia="zh-CN"/>
                <w14:ligatures w14:val="standardContextual"/>
              </w:rPr>
            </w:pPr>
            <w:r>
              <w:rPr>
                <w:rFonts w:hint="eastAsia" w:ascii="仿宋" w:hAnsi="仿宋" w:eastAsia="方正仿宋_GBK" w:cs="Times New Roman"/>
                <w:sz w:val="32"/>
                <w:szCs w:val="36"/>
                <w:lang w:eastAsia="zh-CN"/>
                <w14:ligatures w14:val="standardContextual"/>
              </w:rPr>
              <w:t>来源渠道</w:t>
            </w:r>
          </w:p>
        </w:tc>
        <w:tc>
          <w:tcPr>
            <w:tcW w:w="1034" w:type="dxa"/>
            <w:vAlign w:val="center"/>
          </w:tcPr>
          <w:p w14:paraId="32F3A31B">
            <w:pPr>
              <w:keepNext w:val="0"/>
              <w:keepLines w:val="0"/>
              <w:pageBreakBefore w:val="0"/>
              <w:widowControl w:val="0"/>
              <w:kinsoku/>
              <w:wordWrap/>
              <w:overflowPunct/>
              <w:topLinePunct w:val="0"/>
              <w:autoSpaceDE/>
              <w:autoSpaceDN/>
              <w:bidi w:val="0"/>
              <w:adjustRightInd/>
              <w:snapToGrid/>
              <w:spacing w:before="120" w:after="120" w:line="400" w:lineRule="exact"/>
              <w:ind w:left="0" w:firstLine="0" w:firstLineChars="0"/>
              <w:jc w:val="center"/>
              <w:textAlignment w:val="auto"/>
              <w:rPr>
                <w:rFonts w:hint="eastAsia" w:ascii="仿宋" w:hAnsi="仿宋" w:eastAsia="仿宋" w:cs="Times New Roman"/>
                <w:sz w:val="32"/>
                <w:szCs w:val="36"/>
                <w:lang w:eastAsia="zh-CN"/>
                <w14:ligatures w14:val="standardContextual"/>
              </w:rPr>
            </w:pPr>
            <w:r>
              <w:rPr>
                <w:rFonts w:hint="eastAsia" w:ascii="仿宋" w:hAnsi="仿宋" w:eastAsia="方正仿宋_GBK" w:cs="Times New Roman"/>
                <w:sz w:val="32"/>
                <w:szCs w:val="36"/>
                <w:lang w:eastAsia="zh-CN"/>
                <w14:ligatures w14:val="standardContextual"/>
              </w:rPr>
              <w:t>出具部门</w:t>
            </w:r>
          </w:p>
        </w:tc>
        <w:tc>
          <w:tcPr>
            <w:tcW w:w="1235" w:type="dxa"/>
            <w:vAlign w:val="center"/>
          </w:tcPr>
          <w:p w14:paraId="2F8361EF">
            <w:pPr>
              <w:keepNext w:val="0"/>
              <w:keepLines w:val="0"/>
              <w:pageBreakBefore w:val="0"/>
              <w:widowControl w:val="0"/>
              <w:kinsoku/>
              <w:wordWrap/>
              <w:overflowPunct/>
              <w:topLinePunct w:val="0"/>
              <w:autoSpaceDE/>
              <w:autoSpaceDN/>
              <w:bidi w:val="0"/>
              <w:adjustRightInd/>
              <w:snapToGrid/>
              <w:spacing w:before="120" w:after="120" w:line="400" w:lineRule="exact"/>
              <w:ind w:left="0" w:firstLine="0" w:firstLineChars="0"/>
              <w:jc w:val="center"/>
              <w:textAlignment w:val="auto"/>
              <w:rPr>
                <w:rFonts w:hint="eastAsia" w:ascii="仿宋" w:hAnsi="仿宋" w:eastAsia="仿宋" w:cs="Times New Roman"/>
                <w:sz w:val="32"/>
                <w:szCs w:val="36"/>
                <w:lang w:eastAsia="zh-CN"/>
                <w14:ligatures w14:val="standardContextual"/>
              </w:rPr>
            </w:pPr>
            <w:r>
              <w:rPr>
                <w:rFonts w:hint="eastAsia" w:ascii="仿宋" w:hAnsi="仿宋" w:eastAsia="方正仿宋_GBK" w:cs="Times New Roman"/>
                <w:sz w:val="32"/>
                <w:szCs w:val="36"/>
                <w:lang w:eastAsia="zh-CN"/>
                <w14:ligatures w14:val="standardContextual"/>
              </w:rPr>
              <w:t>材料必要性</w:t>
            </w:r>
          </w:p>
        </w:tc>
        <w:tc>
          <w:tcPr>
            <w:tcW w:w="1050" w:type="dxa"/>
            <w:vAlign w:val="center"/>
          </w:tcPr>
          <w:p w14:paraId="5F575791">
            <w:pPr>
              <w:keepNext w:val="0"/>
              <w:keepLines w:val="0"/>
              <w:pageBreakBefore w:val="0"/>
              <w:widowControl w:val="0"/>
              <w:kinsoku/>
              <w:wordWrap/>
              <w:overflowPunct/>
              <w:topLinePunct w:val="0"/>
              <w:autoSpaceDE/>
              <w:autoSpaceDN/>
              <w:bidi w:val="0"/>
              <w:adjustRightInd/>
              <w:snapToGrid/>
              <w:spacing w:before="120" w:after="120" w:line="400" w:lineRule="exact"/>
              <w:ind w:left="0" w:firstLine="0" w:firstLineChars="0"/>
              <w:jc w:val="center"/>
              <w:textAlignment w:val="auto"/>
              <w:rPr>
                <w:rFonts w:hint="eastAsia" w:ascii="仿宋" w:hAnsi="仿宋" w:eastAsia="仿宋" w:cs="Times New Roman"/>
                <w:sz w:val="32"/>
                <w:szCs w:val="36"/>
                <w:lang w:eastAsia="zh-CN"/>
                <w14:ligatures w14:val="standardContextual"/>
              </w:rPr>
            </w:pPr>
            <w:r>
              <w:rPr>
                <w:rFonts w:hint="eastAsia" w:ascii="仿宋" w:hAnsi="仿宋" w:eastAsia="方正仿宋_GBK" w:cs="Times New Roman"/>
                <w:sz w:val="32"/>
                <w:szCs w:val="36"/>
                <w:lang w:eastAsia="zh-CN"/>
                <w14:ligatures w14:val="standardContextual"/>
              </w:rPr>
              <w:t>涉及事项</w:t>
            </w:r>
          </w:p>
        </w:tc>
        <w:tc>
          <w:tcPr>
            <w:tcW w:w="1849" w:type="dxa"/>
            <w:vAlign w:val="center"/>
          </w:tcPr>
          <w:p w14:paraId="4A052852">
            <w:pPr>
              <w:keepNext w:val="0"/>
              <w:keepLines w:val="0"/>
              <w:pageBreakBefore w:val="0"/>
              <w:widowControl w:val="0"/>
              <w:kinsoku/>
              <w:wordWrap/>
              <w:overflowPunct/>
              <w:topLinePunct w:val="0"/>
              <w:autoSpaceDE/>
              <w:autoSpaceDN/>
              <w:bidi w:val="0"/>
              <w:adjustRightInd/>
              <w:snapToGrid/>
              <w:spacing w:before="120" w:after="120" w:line="400" w:lineRule="exact"/>
              <w:ind w:left="0" w:firstLine="0" w:firstLineChars="0"/>
              <w:jc w:val="center"/>
              <w:textAlignment w:val="auto"/>
              <w:rPr>
                <w:rFonts w:hint="eastAsia" w:ascii="仿宋" w:hAnsi="仿宋" w:eastAsia="仿宋" w:cs="Times New Roman"/>
                <w:sz w:val="32"/>
                <w:szCs w:val="36"/>
                <w:lang w:eastAsia="zh-CN"/>
                <w14:ligatures w14:val="standardContextual"/>
              </w:rPr>
            </w:pPr>
            <w:r>
              <w:rPr>
                <w:rFonts w:hint="eastAsia" w:ascii="仿宋" w:hAnsi="仿宋" w:eastAsia="方正仿宋_GBK" w:cs="Times New Roman"/>
                <w:sz w:val="32"/>
                <w:szCs w:val="36"/>
                <w:lang w:eastAsia="zh-CN"/>
                <w14:ligatures w14:val="standardContextual"/>
              </w:rPr>
              <w:t>非必要材料涉及情形</w:t>
            </w:r>
          </w:p>
        </w:tc>
        <w:tc>
          <w:tcPr>
            <w:tcW w:w="2477" w:type="dxa"/>
            <w:vAlign w:val="center"/>
          </w:tcPr>
          <w:p w14:paraId="08466BC5">
            <w:pPr>
              <w:keepNext w:val="0"/>
              <w:keepLines w:val="0"/>
              <w:pageBreakBefore w:val="0"/>
              <w:widowControl w:val="0"/>
              <w:kinsoku/>
              <w:wordWrap/>
              <w:overflowPunct/>
              <w:topLinePunct w:val="0"/>
              <w:autoSpaceDE/>
              <w:autoSpaceDN/>
              <w:bidi w:val="0"/>
              <w:adjustRightInd/>
              <w:snapToGrid/>
              <w:spacing w:before="120" w:after="120" w:line="400" w:lineRule="exact"/>
              <w:ind w:left="0" w:firstLine="0" w:firstLineChars="0"/>
              <w:jc w:val="center"/>
              <w:textAlignment w:val="auto"/>
              <w:rPr>
                <w:rFonts w:hint="eastAsia" w:ascii="仿宋" w:hAnsi="仿宋" w:eastAsia="仿宋" w:cs="Times New Roman"/>
                <w:sz w:val="32"/>
                <w:szCs w:val="36"/>
                <w:lang w:eastAsia="zh-CN"/>
                <w14:ligatures w14:val="standardContextual"/>
              </w:rPr>
            </w:pPr>
            <w:r>
              <w:rPr>
                <w:rFonts w:hint="eastAsia" w:ascii="仿宋" w:hAnsi="仿宋" w:eastAsia="方正仿宋_GBK" w:cs="Times New Roman"/>
                <w:sz w:val="32"/>
                <w:szCs w:val="36"/>
                <w:lang w:eastAsia="zh-CN"/>
                <w14:ligatures w14:val="standardContextual"/>
              </w:rPr>
              <w:t>备注</w:t>
            </w:r>
          </w:p>
        </w:tc>
      </w:tr>
      <w:tr w14:paraId="4002B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vAlign w:val="center"/>
          </w:tcPr>
          <w:p w14:paraId="3354AEB7">
            <w:pPr>
              <w:keepNext w:val="0"/>
              <w:keepLines w:val="0"/>
              <w:pageBreakBefore w:val="0"/>
              <w:widowControl w:val="0"/>
              <w:kinsoku/>
              <w:wordWrap/>
              <w:overflowPunct/>
              <w:topLinePunct w:val="0"/>
              <w:autoSpaceDE/>
              <w:autoSpaceDN/>
              <w:bidi w:val="0"/>
              <w:adjustRightInd/>
              <w:snapToGrid/>
              <w:spacing w:before="120" w:after="120" w:line="400" w:lineRule="exact"/>
              <w:ind w:left="0" w:firstLine="0" w:firstLineChars="0"/>
              <w:jc w:val="center"/>
              <w:textAlignment w:val="auto"/>
              <w:rPr>
                <w:rFonts w:hint="eastAsia" w:ascii="仿宋" w:hAnsi="仿宋" w:eastAsia="仿宋" w:cs="Times New Roman"/>
                <w:sz w:val="32"/>
                <w:szCs w:val="36"/>
                <w14:ligatures w14:val="standardContextual"/>
              </w:rPr>
            </w:pPr>
            <w:r>
              <w:rPr>
                <w:rFonts w:hint="eastAsia" w:ascii="仿宋" w:hAnsi="仿宋" w:eastAsia="方正仿宋_GBK" w:cs="Times New Roman"/>
                <w:sz w:val="32"/>
                <w:szCs w:val="36"/>
                <w14:ligatures w14:val="standardContextual"/>
              </w:rPr>
              <w:t>1</w:t>
            </w:r>
          </w:p>
        </w:tc>
        <w:tc>
          <w:tcPr>
            <w:tcW w:w="1414" w:type="dxa"/>
            <w:vAlign w:val="center"/>
          </w:tcPr>
          <w:p w14:paraId="51C554B1">
            <w:pPr>
              <w:keepNext w:val="0"/>
              <w:keepLines w:val="0"/>
              <w:pageBreakBefore w:val="0"/>
              <w:widowControl w:val="0"/>
              <w:kinsoku/>
              <w:wordWrap/>
              <w:overflowPunct/>
              <w:topLinePunct w:val="0"/>
              <w:autoSpaceDE/>
              <w:autoSpaceDN/>
              <w:bidi w:val="0"/>
              <w:adjustRightInd/>
              <w:snapToGrid/>
              <w:spacing w:before="120" w:after="120" w:line="400" w:lineRule="exact"/>
              <w:ind w:left="0" w:firstLine="0" w:firstLineChars="0"/>
              <w:jc w:val="center"/>
              <w:textAlignment w:val="auto"/>
              <w:rPr>
                <w:rFonts w:hint="eastAsia" w:ascii="仿宋" w:hAnsi="仿宋" w:eastAsia="仿宋" w:cs="Times New Roman"/>
                <w:sz w:val="32"/>
                <w:szCs w:val="36"/>
                <w14:ligatures w14:val="standardContextual"/>
              </w:rPr>
            </w:pPr>
            <w:r>
              <w:rPr>
                <w:rFonts w:hint="eastAsia" w:ascii="仿宋" w:hAnsi="仿宋" w:eastAsia="方正仿宋_GBK" w:cs="Times New Roman"/>
                <w:sz w:val="32"/>
                <w:szCs w:val="36"/>
                <w14:ligatures w14:val="standardContextual"/>
              </w:rPr>
              <w:t>申请人居民身份证</w:t>
            </w:r>
          </w:p>
        </w:tc>
        <w:tc>
          <w:tcPr>
            <w:tcW w:w="1058" w:type="dxa"/>
            <w:vAlign w:val="center"/>
          </w:tcPr>
          <w:p w14:paraId="5CBC5F3E">
            <w:pPr>
              <w:keepNext w:val="0"/>
              <w:keepLines w:val="0"/>
              <w:pageBreakBefore w:val="0"/>
              <w:widowControl w:val="0"/>
              <w:kinsoku/>
              <w:wordWrap/>
              <w:overflowPunct/>
              <w:topLinePunct w:val="0"/>
              <w:autoSpaceDE/>
              <w:autoSpaceDN/>
              <w:bidi w:val="0"/>
              <w:adjustRightInd/>
              <w:snapToGrid/>
              <w:spacing w:before="120" w:after="120" w:line="400" w:lineRule="exact"/>
              <w:ind w:left="0" w:firstLine="0" w:firstLineChars="0"/>
              <w:jc w:val="center"/>
              <w:textAlignment w:val="auto"/>
              <w:rPr>
                <w:rFonts w:hint="eastAsia" w:ascii="仿宋" w:hAnsi="仿宋" w:eastAsia="仿宋" w:cs="Times New Roman"/>
                <w:sz w:val="32"/>
                <w:szCs w:val="36"/>
                <w14:ligatures w14:val="standardContextual"/>
              </w:rPr>
            </w:pPr>
            <w:r>
              <w:rPr>
                <w:rFonts w:hint="eastAsia" w:ascii="仿宋" w:hAnsi="仿宋" w:eastAsia="方正仿宋_GBK" w:cs="Times New Roman"/>
                <w:sz w:val="32"/>
                <w:szCs w:val="36"/>
                <w14:ligatures w14:val="standardContextual"/>
              </w:rPr>
              <w:t>原件</w:t>
            </w:r>
          </w:p>
        </w:tc>
        <w:tc>
          <w:tcPr>
            <w:tcW w:w="913" w:type="dxa"/>
            <w:vAlign w:val="center"/>
          </w:tcPr>
          <w:p w14:paraId="698D6AA2">
            <w:pPr>
              <w:keepNext w:val="0"/>
              <w:keepLines w:val="0"/>
              <w:pageBreakBefore w:val="0"/>
              <w:widowControl w:val="0"/>
              <w:kinsoku/>
              <w:wordWrap/>
              <w:overflowPunct/>
              <w:topLinePunct w:val="0"/>
              <w:autoSpaceDE/>
              <w:autoSpaceDN/>
              <w:bidi w:val="0"/>
              <w:adjustRightInd/>
              <w:snapToGrid/>
              <w:spacing w:before="120" w:after="120" w:line="400" w:lineRule="exact"/>
              <w:ind w:left="0" w:firstLine="0" w:firstLineChars="0"/>
              <w:jc w:val="center"/>
              <w:textAlignment w:val="auto"/>
              <w:rPr>
                <w:rFonts w:hint="eastAsia" w:ascii="仿宋" w:hAnsi="仿宋" w:eastAsia="仿宋" w:cs="Times New Roman"/>
                <w:sz w:val="32"/>
                <w:szCs w:val="36"/>
                <w:lang w:eastAsia="zh-CN"/>
                <w14:ligatures w14:val="standardContextual"/>
              </w:rPr>
            </w:pPr>
            <w:r>
              <w:rPr>
                <w:rFonts w:hint="eastAsia" w:ascii="仿宋" w:hAnsi="仿宋" w:eastAsia="方正仿宋_GBK" w:cs="Times New Roman"/>
                <w:sz w:val="32"/>
                <w:szCs w:val="36"/>
                <w:lang w:eastAsia="zh-CN"/>
                <w14:ligatures w14:val="standardContextual"/>
              </w:rPr>
              <w:t>纸质或电子</w:t>
            </w:r>
          </w:p>
        </w:tc>
        <w:tc>
          <w:tcPr>
            <w:tcW w:w="1049" w:type="dxa"/>
            <w:vAlign w:val="center"/>
          </w:tcPr>
          <w:p w14:paraId="16898548">
            <w:pPr>
              <w:keepNext w:val="0"/>
              <w:keepLines w:val="0"/>
              <w:pageBreakBefore w:val="0"/>
              <w:widowControl w:val="0"/>
              <w:kinsoku/>
              <w:wordWrap/>
              <w:overflowPunct/>
              <w:topLinePunct w:val="0"/>
              <w:autoSpaceDE/>
              <w:autoSpaceDN/>
              <w:bidi w:val="0"/>
              <w:adjustRightInd/>
              <w:snapToGrid/>
              <w:spacing w:before="120" w:after="120" w:line="400" w:lineRule="exact"/>
              <w:ind w:left="0" w:firstLine="0" w:firstLineChars="0"/>
              <w:jc w:val="center"/>
              <w:textAlignment w:val="auto"/>
              <w:rPr>
                <w:rFonts w:hint="eastAsia" w:ascii="仿宋" w:hAnsi="仿宋" w:eastAsia="仿宋" w:cs="Times New Roman"/>
                <w:sz w:val="32"/>
                <w:szCs w:val="36"/>
                <w:lang w:eastAsia="zh-CN"/>
                <w14:ligatures w14:val="standardContextual"/>
              </w:rPr>
            </w:pPr>
            <w:r>
              <w:rPr>
                <w:rFonts w:hint="eastAsia" w:ascii="仿宋" w:hAnsi="仿宋" w:eastAsia="方正仿宋_GBK" w:cs="Times New Roman"/>
                <w:sz w:val="32"/>
                <w:szCs w:val="36"/>
                <w:lang w:eastAsia="zh-CN"/>
                <w14:ligatures w14:val="standardContextual"/>
              </w:rPr>
              <w:t>政府部门核发</w:t>
            </w:r>
          </w:p>
        </w:tc>
        <w:tc>
          <w:tcPr>
            <w:tcW w:w="1034" w:type="dxa"/>
            <w:vAlign w:val="center"/>
          </w:tcPr>
          <w:p w14:paraId="46269D8A">
            <w:pPr>
              <w:keepNext w:val="0"/>
              <w:keepLines w:val="0"/>
              <w:pageBreakBefore w:val="0"/>
              <w:widowControl w:val="0"/>
              <w:kinsoku/>
              <w:wordWrap/>
              <w:overflowPunct/>
              <w:topLinePunct w:val="0"/>
              <w:autoSpaceDE/>
              <w:autoSpaceDN/>
              <w:bidi w:val="0"/>
              <w:adjustRightInd/>
              <w:snapToGrid/>
              <w:spacing w:before="120" w:after="120" w:line="400" w:lineRule="exact"/>
              <w:ind w:left="0" w:firstLine="0" w:firstLineChars="0"/>
              <w:jc w:val="center"/>
              <w:textAlignment w:val="auto"/>
              <w:rPr>
                <w:rFonts w:hint="eastAsia" w:ascii="仿宋" w:hAnsi="仿宋" w:eastAsia="仿宋" w:cs="Times New Roman"/>
                <w:sz w:val="32"/>
                <w:szCs w:val="36"/>
                <w:lang w:eastAsia="zh-CN"/>
                <w14:ligatures w14:val="standardContextual"/>
              </w:rPr>
            </w:pPr>
            <w:r>
              <w:rPr>
                <w:rFonts w:hint="eastAsia" w:ascii="仿宋" w:hAnsi="仿宋" w:eastAsia="方正仿宋_GBK" w:cs="Times New Roman"/>
                <w:sz w:val="32"/>
                <w:szCs w:val="36"/>
                <w:lang w:eastAsia="zh-CN"/>
                <w14:ligatures w14:val="standardContextual"/>
              </w:rPr>
              <w:t>公安机关</w:t>
            </w:r>
          </w:p>
        </w:tc>
        <w:tc>
          <w:tcPr>
            <w:tcW w:w="1235" w:type="dxa"/>
            <w:vAlign w:val="center"/>
          </w:tcPr>
          <w:p w14:paraId="0F1B8BA7">
            <w:pPr>
              <w:keepNext w:val="0"/>
              <w:keepLines w:val="0"/>
              <w:pageBreakBefore w:val="0"/>
              <w:widowControl w:val="0"/>
              <w:kinsoku/>
              <w:wordWrap/>
              <w:overflowPunct/>
              <w:topLinePunct w:val="0"/>
              <w:autoSpaceDE/>
              <w:autoSpaceDN/>
              <w:bidi w:val="0"/>
              <w:adjustRightInd/>
              <w:snapToGrid/>
              <w:spacing w:before="120" w:after="120" w:line="400" w:lineRule="exact"/>
              <w:ind w:left="0" w:firstLine="0" w:firstLineChars="0"/>
              <w:jc w:val="center"/>
              <w:textAlignment w:val="auto"/>
              <w:rPr>
                <w:rFonts w:hint="eastAsia" w:ascii="仿宋" w:hAnsi="仿宋" w:eastAsia="仿宋" w:cs="Times New Roman"/>
                <w:sz w:val="32"/>
                <w:szCs w:val="36"/>
                <w:lang w:eastAsia="zh-CN"/>
                <w14:ligatures w14:val="standardContextual"/>
              </w:rPr>
            </w:pPr>
            <w:r>
              <w:rPr>
                <w:rFonts w:hint="eastAsia" w:ascii="仿宋" w:hAnsi="仿宋" w:eastAsia="方正仿宋_GBK" w:cs="Times New Roman"/>
                <w:sz w:val="32"/>
                <w:szCs w:val="36"/>
                <w:lang w:eastAsia="zh-CN"/>
                <w14:ligatures w14:val="standardContextual"/>
              </w:rPr>
              <w:t>必要</w:t>
            </w:r>
          </w:p>
        </w:tc>
        <w:tc>
          <w:tcPr>
            <w:tcW w:w="1050" w:type="dxa"/>
            <w:vAlign w:val="center"/>
          </w:tcPr>
          <w:p w14:paraId="3B3BA118">
            <w:pPr>
              <w:keepNext w:val="0"/>
              <w:keepLines w:val="0"/>
              <w:pageBreakBefore w:val="0"/>
              <w:widowControl w:val="0"/>
              <w:kinsoku/>
              <w:wordWrap/>
              <w:overflowPunct/>
              <w:topLinePunct w:val="0"/>
              <w:autoSpaceDE/>
              <w:autoSpaceDN/>
              <w:bidi w:val="0"/>
              <w:adjustRightInd/>
              <w:snapToGrid/>
              <w:spacing w:before="120" w:after="120" w:line="400" w:lineRule="exact"/>
              <w:ind w:left="0" w:firstLine="0" w:firstLineChars="0"/>
              <w:jc w:val="center"/>
              <w:textAlignment w:val="auto"/>
              <w:rPr>
                <w:rFonts w:hint="eastAsia" w:ascii="仿宋" w:hAnsi="仿宋" w:eastAsia="仿宋" w:cs="Times New Roman"/>
                <w:sz w:val="32"/>
                <w:szCs w:val="36"/>
                <w:lang w:eastAsia="zh-CN"/>
                <w14:ligatures w14:val="standardContextual"/>
              </w:rPr>
            </w:pPr>
            <w:r>
              <w:rPr>
                <w:rFonts w:hint="eastAsia" w:ascii="仿宋" w:hAnsi="仿宋" w:eastAsia="方正仿宋_GBK" w:cs="Times New Roman"/>
                <w:sz w:val="32"/>
                <w:szCs w:val="36"/>
                <w:lang w:eastAsia="zh-CN"/>
                <w14:ligatures w14:val="standardContextual"/>
              </w:rPr>
              <w:t>所有事项</w:t>
            </w:r>
          </w:p>
        </w:tc>
        <w:tc>
          <w:tcPr>
            <w:tcW w:w="1849" w:type="dxa"/>
            <w:vAlign w:val="center"/>
          </w:tcPr>
          <w:p w14:paraId="63E52918">
            <w:pPr>
              <w:keepNext w:val="0"/>
              <w:keepLines w:val="0"/>
              <w:pageBreakBefore w:val="0"/>
              <w:widowControl w:val="0"/>
              <w:kinsoku/>
              <w:wordWrap/>
              <w:overflowPunct/>
              <w:topLinePunct w:val="0"/>
              <w:autoSpaceDE/>
              <w:autoSpaceDN/>
              <w:bidi w:val="0"/>
              <w:adjustRightInd/>
              <w:snapToGrid/>
              <w:spacing w:before="120" w:after="120" w:line="400" w:lineRule="exact"/>
              <w:ind w:left="0" w:firstLine="0" w:firstLineChars="0"/>
              <w:jc w:val="center"/>
              <w:textAlignment w:val="auto"/>
              <w:rPr>
                <w:rFonts w:hint="eastAsia" w:ascii="仿宋" w:hAnsi="仿宋" w:eastAsia="仿宋" w:cs="Times New Roman"/>
                <w:sz w:val="32"/>
                <w:szCs w:val="36"/>
                <w14:ligatures w14:val="standardContextual"/>
              </w:rPr>
            </w:pPr>
          </w:p>
        </w:tc>
        <w:tc>
          <w:tcPr>
            <w:tcW w:w="2477" w:type="dxa"/>
            <w:vAlign w:val="center"/>
          </w:tcPr>
          <w:p w14:paraId="3F132643">
            <w:pPr>
              <w:keepNext w:val="0"/>
              <w:keepLines w:val="0"/>
              <w:pageBreakBefore w:val="0"/>
              <w:widowControl w:val="0"/>
              <w:kinsoku/>
              <w:wordWrap/>
              <w:overflowPunct/>
              <w:topLinePunct w:val="0"/>
              <w:autoSpaceDE/>
              <w:autoSpaceDN/>
              <w:bidi w:val="0"/>
              <w:adjustRightInd/>
              <w:snapToGrid/>
              <w:spacing w:before="120" w:after="120" w:line="400" w:lineRule="exact"/>
              <w:ind w:left="0" w:firstLine="0" w:firstLineChars="0"/>
              <w:jc w:val="center"/>
              <w:textAlignment w:val="auto"/>
              <w:rPr>
                <w:rFonts w:hint="eastAsia" w:ascii="仿宋" w:hAnsi="仿宋" w:eastAsia="仿宋" w:cs="Times New Roman"/>
                <w:sz w:val="32"/>
                <w:szCs w:val="36"/>
                <w14:ligatures w14:val="standardContextual"/>
              </w:rPr>
            </w:pPr>
            <w:r>
              <w:rPr>
                <w:rFonts w:hint="eastAsia" w:ascii="仿宋" w:hAnsi="仿宋" w:eastAsia="方正仿宋_GBK" w:cs="Times New Roman"/>
                <w:sz w:val="32"/>
                <w:szCs w:val="36"/>
                <w14:ligatures w14:val="standardContextual"/>
              </w:rPr>
              <w:t>已完成居民电子健康卡实名认证的，无需提交。</w:t>
            </w:r>
          </w:p>
        </w:tc>
      </w:tr>
    </w:tbl>
    <w:p w14:paraId="391096C1"/>
    <w:p w14:paraId="09C62A38">
      <w:pPr>
        <w:rPr>
          <w:rFonts w:hint="eastAsia" w:ascii="方正黑体_GBK" w:hAnsi="方正黑体_GBK" w:eastAsia="方正黑体_GBK" w:cs="方正黑体_GBK"/>
        </w:rPr>
        <w:sectPr>
          <w:pgSz w:w="16838" w:h="11906" w:orient="landscape"/>
          <w:pgMar w:top="1803" w:right="2098" w:bottom="1587" w:left="1984" w:header="851" w:footer="992" w:gutter="0"/>
          <w:pgNumType w:fmt="decimal"/>
          <w:cols w:space="0" w:num="1"/>
          <w:rtlGutter w:val="0"/>
          <w:docGrid w:type="lines" w:linePitch="448" w:charSpace="0"/>
        </w:sectPr>
      </w:pPr>
      <w:bookmarkStart w:id="0" w:name="_GoBack"/>
      <w:bookmarkEnd w:id="0"/>
    </w:p>
    <w:p w14:paraId="52A90DEE">
      <w:pPr>
        <w:ind w:left="0" w:leftChars="0" w:firstLine="0" w:firstLineChars="0"/>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FT Thymes">
    <w:altName w:val="Times New Roman"/>
    <w:panose1 w:val="02020603050405020304"/>
    <w:charset w:val="00"/>
    <w:family w:val="auto"/>
    <w:pitch w:val="default"/>
    <w:sig w:usb0="00000000" w:usb1="00000000" w:usb2="00000009" w:usb3="00000000" w:csb0="00000001"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1658FA">
    <w:pPr>
      <w:pStyle w:val="5"/>
    </w:pPr>
    <w:r>
      <w:rPr>
        <w:sz w:val="32"/>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455AAE">
                          <w:pPr>
                            <w:pStyle w:val="5"/>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4455AAE">
                    <w:pPr>
                      <w:pStyle w:val="5"/>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082D08"/>
    <w:rsid w:val="001B7932"/>
    <w:rsid w:val="005546D4"/>
    <w:rsid w:val="00635E00"/>
    <w:rsid w:val="007A47C7"/>
    <w:rsid w:val="00C74BC7"/>
    <w:rsid w:val="011B04CB"/>
    <w:rsid w:val="012E3196"/>
    <w:rsid w:val="022126EB"/>
    <w:rsid w:val="02304406"/>
    <w:rsid w:val="0239752D"/>
    <w:rsid w:val="023B15C9"/>
    <w:rsid w:val="03287B0F"/>
    <w:rsid w:val="03B1569D"/>
    <w:rsid w:val="03BF5681"/>
    <w:rsid w:val="03D5141F"/>
    <w:rsid w:val="03D74F2C"/>
    <w:rsid w:val="04031CE6"/>
    <w:rsid w:val="04257102"/>
    <w:rsid w:val="04730F0C"/>
    <w:rsid w:val="04DA7C54"/>
    <w:rsid w:val="050D1E04"/>
    <w:rsid w:val="051D14A5"/>
    <w:rsid w:val="0540015D"/>
    <w:rsid w:val="055A00F9"/>
    <w:rsid w:val="057C0083"/>
    <w:rsid w:val="05AD416A"/>
    <w:rsid w:val="05C00209"/>
    <w:rsid w:val="05DA4FB0"/>
    <w:rsid w:val="0635231F"/>
    <w:rsid w:val="06615612"/>
    <w:rsid w:val="06BF259E"/>
    <w:rsid w:val="07236141"/>
    <w:rsid w:val="074C3239"/>
    <w:rsid w:val="07B61FB5"/>
    <w:rsid w:val="07F37EB9"/>
    <w:rsid w:val="08043D1E"/>
    <w:rsid w:val="084A548F"/>
    <w:rsid w:val="089C4D7B"/>
    <w:rsid w:val="089E0D6F"/>
    <w:rsid w:val="09A02EF2"/>
    <w:rsid w:val="09D4435F"/>
    <w:rsid w:val="09D93B0E"/>
    <w:rsid w:val="0A62328F"/>
    <w:rsid w:val="0A724195"/>
    <w:rsid w:val="0A974C08"/>
    <w:rsid w:val="0A9927FB"/>
    <w:rsid w:val="0AB81290"/>
    <w:rsid w:val="0B2907CD"/>
    <w:rsid w:val="0BDA3132"/>
    <w:rsid w:val="0BDB6FA4"/>
    <w:rsid w:val="0BF619D4"/>
    <w:rsid w:val="0C0846B7"/>
    <w:rsid w:val="0C833A46"/>
    <w:rsid w:val="0CF76387"/>
    <w:rsid w:val="0D854721"/>
    <w:rsid w:val="0DFA031D"/>
    <w:rsid w:val="0E0A639A"/>
    <w:rsid w:val="0E1460CD"/>
    <w:rsid w:val="0E432AD7"/>
    <w:rsid w:val="0E616644"/>
    <w:rsid w:val="0E7D75B7"/>
    <w:rsid w:val="0EA071BB"/>
    <w:rsid w:val="0EB5140A"/>
    <w:rsid w:val="0ED820BA"/>
    <w:rsid w:val="0F623180"/>
    <w:rsid w:val="0F890502"/>
    <w:rsid w:val="0F8F4C7D"/>
    <w:rsid w:val="100B7305"/>
    <w:rsid w:val="10216E72"/>
    <w:rsid w:val="10223BC7"/>
    <w:rsid w:val="1057177D"/>
    <w:rsid w:val="10CE6E57"/>
    <w:rsid w:val="10D67B87"/>
    <w:rsid w:val="10F91F6B"/>
    <w:rsid w:val="113F3479"/>
    <w:rsid w:val="115660B9"/>
    <w:rsid w:val="1180031A"/>
    <w:rsid w:val="11AD0F05"/>
    <w:rsid w:val="11DA3A32"/>
    <w:rsid w:val="121E19BE"/>
    <w:rsid w:val="12676E96"/>
    <w:rsid w:val="12786D6D"/>
    <w:rsid w:val="12B77111"/>
    <w:rsid w:val="135770E3"/>
    <w:rsid w:val="136510E1"/>
    <w:rsid w:val="137E7BE3"/>
    <w:rsid w:val="1398694A"/>
    <w:rsid w:val="13E26731"/>
    <w:rsid w:val="140B63D8"/>
    <w:rsid w:val="1423796B"/>
    <w:rsid w:val="14384EC6"/>
    <w:rsid w:val="14B14C50"/>
    <w:rsid w:val="154B352C"/>
    <w:rsid w:val="15A377BD"/>
    <w:rsid w:val="15F14A14"/>
    <w:rsid w:val="164A3786"/>
    <w:rsid w:val="167E720B"/>
    <w:rsid w:val="16AD67A9"/>
    <w:rsid w:val="16CA6A04"/>
    <w:rsid w:val="175E3D60"/>
    <w:rsid w:val="18295234"/>
    <w:rsid w:val="184A4CFA"/>
    <w:rsid w:val="185D0EF8"/>
    <w:rsid w:val="18616B1F"/>
    <w:rsid w:val="18955468"/>
    <w:rsid w:val="189779AC"/>
    <w:rsid w:val="18CA388F"/>
    <w:rsid w:val="18D82398"/>
    <w:rsid w:val="18F7541A"/>
    <w:rsid w:val="18FA29F1"/>
    <w:rsid w:val="18FB4F3D"/>
    <w:rsid w:val="19601618"/>
    <w:rsid w:val="19FF6254"/>
    <w:rsid w:val="1A3C4C9D"/>
    <w:rsid w:val="1A5E32DF"/>
    <w:rsid w:val="1A9752FB"/>
    <w:rsid w:val="1B3F34AE"/>
    <w:rsid w:val="1B40358F"/>
    <w:rsid w:val="1B63376E"/>
    <w:rsid w:val="1C086C36"/>
    <w:rsid w:val="1C331F59"/>
    <w:rsid w:val="1C3E5127"/>
    <w:rsid w:val="1C806976"/>
    <w:rsid w:val="1C977B2E"/>
    <w:rsid w:val="1CCC33D0"/>
    <w:rsid w:val="1CCE78C1"/>
    <w:rsid w:val="1CEB68D7"/>
    <w:rsid w:val="1D48784E"/>
    <w:rsid w:val="1DFC28C2"/>
    <w:rsid w:val="1E353706"/>
    <w:rsid w:val="1E375C40"/>
    <w:rsid w:val="1E4C3B78"/>
    <w:rsid w:val="1EF26200"/>
    <w:rsid w:val="1EF91C65"/>
    <w:rsid w:val="1F122D82"/>
    <w:rsid w:val="1F49266F"/>
    <w:rsid w:val="1F79723E"/>
    <w:rsid w:val="1F9C49D9"/>
    <w:rsid w:val="1FEB440D"/>
    <w:rsid w:val="20337573"/>
    <w:rsid w:val="20436BA7"/>
    <w:rsid w:val="2086783C"/>
    <w:rsid w:val="20BE4DAA"/>
    <w:rsid w:val="219C5739"/>
    <w:rsid w:val="21AA5958"/>
    <w:rsid w:val="21D7395D"/>
    <w:rsid w:val="21F7437C"/>
    <w:rsid w:val="22A93250"/>
    <w:rsid w:val="22C324A4"/>
    <w:rsid w:val="22E5142D"/>
    <w:rsid w:val="22F7430C"/>
    <w:rsid w:val="23797881"/>
    <w:rsid w:val="2385100E"/>
    <w:rsid w:val="23A41AA6"/>
    <w:rsid w:val="23CB2AE2"/>
    <w:rsid w:val="23FF7A2F"/>
    <w:rsid w:val="24127851"/>
    <w:rsid w:val="24496AF5"/>
    <w:rsid w:val="24CA11CF"/>
    <w:rsid w:val="254679A7"/>
    <w:rsid w:val="25640F22"/>
    <w:rsid w:val="25F47A86"/>
    <w:rsid w:val="25FB20FC"/>
    <w:rsid w:val="26473A42"/>
    <w:rsid w:val="268F6368"/>
    <w:rsid w:val="27114D63"/>
    <w:rsid w:val="27A32E7F"/>
    <w:rsid w:val="27FC2285"/>
    <w:rsid w:val="284A14E6"/>
    <w:rsid w:val="28F13B90"/>
    <w:rsid w:val="28FB1785"/>
    <w:rsid w:val="29156B33"/>
    <w:rsid w:val="291F0524"/>
    <w:rsid w:val="296A00B1"/>
    <w:rsid w:val="29AE2BA1"/>
    <w:rsid w:val="29C42C90"/>
    <w:rsid w:val="2A190077"/>
    <w:rsid w:val="2A6C0EB1"/>
    <w:rsid w:val="2A6F6FFC"/>
    <w:rsid w:val="2A944B0E"/>
    <w:rsid w:val="2B415A12"/>
    <w:rsid w:val="2B5A38E2"/>
    <w:rsid w:val="2B5E04CE"/>
    <w:rsid w:val="2BE1291B"/>
    <w:rsid w:val="2C347336"/>
    <w:rsid w:val="2C480BCA"/>
    <w:rsid w:val="2CC8091A"/>
    <w:rsid w:val="2CDE6027"/>
    <w:rsid w:val="2CE0427D"/>
    <w:rsid w:val="2CE35FE5"/>
    <w:rsid w:val="2D2F2051"/>
    <w:rsid w:val="2D492FD0"/>
    <w:rsid w:val="2E2659E4"/>
    <w:rsid w:val="2E7A7AEA"/>
    <w:rsid w:val="2E9D2BB5"/>
    <w:rsid w:val="2EDB40E1"/>
    <w:rsid w:val="2F145AD7"/>
    <w:rsid w:val="2FB23CBD"/>
    <w:rsid w:val="2FD2540F"/>
    <w:rsid w:val="30303C28"/>
    <w:rsid w:val="303C5266"/>
    <w:rsid w:val="305B6016"/>
    <w:rsid w:val="309A0272"/>
    <w:rsid w:val="30FE47CE"/>
    <w:rsid w:val="31743775"/>
    <w:rsid w:val="319F68F4"/>
    <w:rsid w:val="32064FEB"/>
    <w:rsid w:val="320C624E"/>
    <w:rsid w:val="323916CF"/>
    <w:rsid w:val="32481C48"/>
    <w:rsid w:val="326572A7"/>
    <w:rsid w:val="32662CCB"/>
    <w:rsid w:val="3272686E"/>
    <w:rsid w:val="3291393F"/>
    <w:rsid w:val="32E955D2"/>
    <w:rsid w:val="330B3B99"/>
    <w:rsid w:val="3311099D"/>
    <w:rsid w:val="331A41E0"/>
    <w:rsid w:val="33256200"/>
    <w:rsid w:val="334540C5"/>
    <w:rsid w:val="33473F51"/>
    <w:rsid w:val="337D0373"/>
    <w:rsid w:val="338D722B"/>
    <w:rsid w:val="339A3C7F"/>
    <w:rsid w:val="339F383F"/>
    <w:rsid w:val="34436819"/>
    <w:rsid w:val="3474327E"/>
    <w:rsid w:val="34C10B81"/>
    <w:rsid w:val="34E7458D"/>
    <w:rsid w:val="34F80983"/>
    <w:rsid w:val="35234BBD"/>
    <w:rsid w:val="35367E26"/>
    <w:rsid w:val="35E35D24"/>
    <w:rsid w:val="35EB79CF"/>
    <w:rsid w:val="363717E3"/>
    <w:rsid w:val="364865F0"/>
    <w:rsid w:val="36862FAB"/>
    <w:rsid w:val="3703767C"/>
    <w:rsid w:val="37124553"/>
    <w:rsid w:val="37147882"/>
    <w:rsid w:val="37183A44"/>
    <w:rsid w:val="37A6451D"/>
    <w:rsid w:val="37F95A23"/>
    <w:rsid w:val="38602AC8"/>
    <w:rsid w:val="38CA791C"/>
    <w:rsid w:val="38DF0F84"/>
    <w:rsid w:val="391723C3"/>
    <w:rsid w:val="391B7BFC"/>
    <w:rsid w:val="393B43E9"/>
    <w:rsid w:val="39FB2037"/>
    <w:rsid w:val="3A051AD0"/>
    <w:rsid w:val="3A181D5F"/>
    <w:rsid w:val="3A1E5668"/>
    <w:rsid w:val="3AB775F6"/>
    <w:rsid w:val="3B2842A5"/>
    <w:rsid w:val="3B721E4F"/>
    <w:rsid w:val="3BD22931"/>
    <w:rsid w:val="3BF378C1"/>
    <w:rsid w:val="3C247835"/>
    <w:rsid w:val="3C3C6F6F"/>
    <w:rsid w:val="3D0071EB"/>
    <w:rsid w:val="3D3777B5"/>
    <w:rsid w:val="3D4202FC"/>
    <w:rsid w:val="3D437950"/>
    <w:rsid w:val="3DA87077"/>
    <w:rsid w:val="3DD72D9E"/>
    <w:rsid w:val="3DF64344"/>
    <w:rsid w:val="3E077402"/>
    <w:rsid w:val="3E0F5B54"/>
    <w:rsid w:val="3E197A8F"/>
    <w:rsid w:val="3E2F0D1E"/>
    <w:rsid w:val="3E390DE4"/>
    <w:rsid w:val="3E3C6A92"/>
    <w:rsid w:val="3E7D33B2"/>
    <w:rsid w:val="3E7D38E5"/>
    <w:rsid w:val="3EC071DA"/>
    <w:rsid w:val="3F143392"/>
    <w:rsid w:val="3F2A0D93"/>
    <w:rsid w:val="3F3159CE"/>
    <w:rsid w:val="3FFF20BE"/>
    <w:rsid w:val="403C6BA8"/>
    <w:rsid w:val="409B2186"/>
    <w:rsid w:val="427B11F5"/>
    <w:rsid w:val="430F1C4F"/>
    <w:rsid w:val="432C00CB"/>
    <w:rsid w:val="435A2A30"/>
    <w:rsid w:val="43624617"/>
    <w:rsid w:val="438E12FC"/>
    <w:rsid w:val="43D95954"/>
    <w:rsid w:val="43FD322F"/>
    <w:rsid w:val="44045862"/>
    <w:rsid w:val="44335DBA"/>
    <w:rsid w:val="444B6A2F"/>
    <w:rsid w:val="44B63ECB"/>
    <w:rsid w:val="44EB711D"/>
    <w:rsid w:val="450671F5"/>
    <w:rsid w:val="456C3385"/>
    <w:rsid w:val="456D2780"/>
    <w:rsid w:val="45AA2F2C"/>
    <w:rsid w:val="45AC55FD"/>
    <w:rsid w:val="45BA5661"/>
    <w:rsid w:val="45CE7426"/>
    <w:rsid w:val="460651F5"/>
    <w:rsid w:val="462F57C9"/>
    <w:rsid w:val="465B190B"/>
    <w:rsid w:val="46817D77"/>
    <w:rsid w:val="46864003"/>
    <w:rsid w:val="46AB0986"/>
    <w:rsid w:val="46B127A3"/>
    <w:rsid w:val="46D74346"/>
    <w:rsid w:val="46E11F8F"/>
    <w:rsid w:val="47097E4C"/>
    <w:rsid w:val="47CC09E2"/>
    <w:rsid w:val="47D56408"/>
    <w:rsid w:val="481532A8"/>
    <w:rsid w:val="482D43FC"/>
    <w:rsid w:val="48646920"/>
    <w:rsid w:val="488F4B06"/>
    <w:rsid w:val="489736AD"/>
    <w:rsid w:val="48EE4DC1"/>
    <w:rsid w:val="490D5E88"/>
    <w:rsid w:val="49540487"/>
    <w:rsid w:val="49595EF6"/>
    <w:rsid w:val="49E93BAD"/>
    <w:rsid w:val="4A3378F4"/>
    <w:rsid w:val="4A3B64EC"/>
    <w:rsid w:val="4A494400"/>
    <w:rsid w:val="4AD20EFB"/>
    <w:rsid w:val="4AF42591"/>
    <w:rsid w:val="4B10680C"/>
    <w:rsid w:val="4B462E7C"/>
    <w:rsid w:val="4B5478BD"/>
    <w:rsid w:val="4B835D29"/>
    <w:rsid w:val="4BF1403D"/>
    <w:rsid w:val="4BF3005D"/>
    <w:rsid w:val="4D030E4B"/>
    <w:rsid w:val="4D856FCB"/>
    <w:rsid w:val="4E044448"/>
    <w:rsid w:val="4E0C2ED7"/>
    <w:rsid w:val="4E9F64D6"/>
    <w:rsid w:val="4EC85D58"/>
    <w:rsid w:val="4F1A0075"/>
    <w:rsid w:val="4F2C201C"/>
    <w:rsid w:val="4FDC07CD"/>
    <w:rsid w:val="503A58E7"/>
    <w:rsid w:val="505A7568"/>
    <w:rsid w:val="50C6593E"/>
    <w:rsid w:val="50CA3A49"/>
    <w:rsid w:val="50F47762"/>
    <w:rsid w:val="514569E5"/>
    <w:rsid w:val="516A0255"/>
    <w:rsid w:val="51E54ADE"/>
    <w:rsid w:val="52037B49"/>
    <w:rsid w:val="52050B8F"/>
    <w:rsid w:val="52467058"/>
    <w:rsid w:val="524B5C49"/>
    <w:rsid w:val="526D3677"/>
    <w:rsid w:val="529F4E9B"/>
    <w:rsid w:val="52E8739F"/>
    <w:rsid w:val="536B7406"/>
    <w:rsid w:val="53C86535"/>
    <w:rsid w:val="54976C4B"/>
    <w:rsid w:val="54A66F81"/>
    <w:rsid w:val="54C52267"/>
    <w:rsid w:val="54CF6424"/>
    <w:rsid w:val="54DC3D13"/>
    <w:rsid w:val="54FB11E8"/>
    <w:rsid w:val="55A40194"/>
    <w:rsid w:val="56210C1D"/>
    <w:rsid w:val="56326793"/>
    <w:rsid w:val="56C40C2F"/>
    <w:rsid w:val="56D65F6C"/>
    <w:rsid w:val="56E77551"/>
    <w:rsid w:val="572E16FC"/>
    <w:rsid w:val="57321082"/>
    <w:rsid w:val="576A4458"/>
    <w:rsid w:val="578800FC"/>
    <w:rsid w:val="57D237B9"/>
    <w:rsid w:val="58B41244"/>
    <w:rsid w:val="58B75B62"/>
    <w:rsid w:val="58BA3695"/>
    <w:rsid w:val="58F96790"/>
    <w:rsid w:val="593A584D"/>
    <w:rsid w:val="594154D2"/>
    <w:rsid w:val="59503200"/>
    <w:rsid w:val="59957B60"/>
    <w:rsid w:val="59A21EC6"/>
    <w:rsid w:val="59DD1339"/>
    <w:rsid w:val="5A2F77A1"/>
    <w:rsid w:val="5A761D9E"/>
    <w:rsid w:val="5B0F33D4"/>
    <w:rsid w:val="5B8E215A"/>
    <w:rsid w:val="5BAC2E9B"/>
    <w:rsid w:val="5BC34F8C"/>
    <w:rsid w:val="5BE82AFB"/>
    <w:rsid w:val="5C376142"/>
    <w:rsid w:val="5C444D47"/>
    <w:rsid w:val="5C5A41B8"/>
    <w:rsid w:val="5D3C5A49"/>
    <w:rsid w:val="5D470242"/>
    <w:rsid w:val="5D65626D"/>
    <w:rsid w:val="5D863933"/>
    <w:rsid w:val="5D8863D2"/>
    <w:rsid w:val="5DBF627A"/>
    <w:rsid w:val="5E120E55"/>
    <w:rsid w:val="5E5E3EDA"/>
    <w:rsid w:val="5E717691"/>
    <w:rsid w:val="5E9D3A7D"/>
    <w:rsid w:val="5EE601D7"/>
    <w:rsid w:val="5F492B85"/>
    <w:rsid w:val="5F4F7C48"/>
    <w:rsid w:val="5F5E19EE"/>
    <w:rsid w:val="5F9A24EE"/>
    <w:rsid w:val="5FFC1C44"/>
    <w:rsid w:val="6040355A"/>
    <w:rsid w:val="60735D0A"/>
    <w:rsid w:val="607D6644"/>
    <w:rsid w:val="609A0DF0"/>
    <w:rsid w:val="60CF59DB"/>
    <w:rsid w:val="60E46184"/>
    <w:rsid w:val="61082D08"/>
    <w:rsid w:val="611862CD"/>
    <w:rsid w:val="61430D80"/>
    <w:rsid w:val="616C6E52"/>
    <w:rsid w:val="616D5ABF"/>
    <w:rsid w:val="61834E9E"/>
    <w:rsid w:val="61A8250E"/>
    <w:rsid w:val="61B779DD"/>
    <w:rsid w:val="621651D2"/>
    <w:rsid w:val="6274609D"/>
    <w:rsid w:val="627E7605"/>
    <w:rsid w:val="633D2524"/>
    <w:rsid w:val="6340542F"/>
    <w:rsid w:val="63513248"/>
    <w:rsid w:val="63812EA6"/>
    <w:rsid w:val="63B81540"/>
    <w:rsid w:val="63C17BBE"/>
    <w:rsid w:val="643A4137"/>
    <w:rsid w:val="64E65D7C"/>
    <w:rsid w:val="65714F13"/>
    <w:rsid w:val="659C7441"/>
    <w:rsid w:val="668C38D8"/>
    <w:rsid w:val="66EA5E5C"/>
    <w:rsid w:val="67267B78"/>
    <w:rsid w:val="67854E2A"/>
    <w:rsid w:val="67FB2920"/>
    <w:rsid w:val="681E4916"/>
    <w:rsid w:val="688C5FD1"/>
    <w:rsid w:val="691A3632"/>
    <w:rsid w:val="69516D5F"/>
    <w:rsid w:val="697C73E1"/>
    <w:rsid w:val="69B4010B"/>
    <w:rsid w:val="69E13BAA"/>
    <w:rsid w:val="69E51513"/>
    <w:rsid w:val="6A527D4F"/>
    <w:rsid w:val="6ABF392C"/>
    <w:rsid w:val="6B331F90"/>
    <w:rsid w:val="6B541907"/>
    <w:rsid w:val="6B56284E"/>
    <w:rsid w:val="6B595BDD"/>
    <w:rsid w:val="6BC431B7"/>
    <w:rsid w:val="6BC96569"/>
    <w:rsid w:val="6C407012"/>
    <w:rsid w:val="6C602D97"/>
    <w:rsid w:val="6C794DFE"/>
    <w:rsid w:val="6C962A4D"/>
    <w:rsid w:val="6C9E0C9F"/>
    <w:rsid w:val="6CE96E46"/>
    <w:rsid w:val="6D2846C9"/>
    <w:rsid w:val="6D2F2F7D"/>
    <w:rsid w:val="6E053DBD"/>
    <w:rsid w:val="6E4B225C"/>
    <w:rsid w:val="6E5C3425"/>
    <w:rsid w:val="6EEE451A"/>
    <w:rsid w:val="6F326E58"/>
    <w:rsid w:val="6F3C0B24"/>
    <w:rsid w:val="6F517FAA"/>
    <w:rsid w:val="6F5934C4"/>
    <w:rsid w:val="6FBE1FD2"/>
    <w:rsid w:val="6FD80481"/>
    <w:rsid w:val="708F432E"/>
    <w:rsid w:val="70BA5B56"/>
    <w:rsid w:val="70D678E2"/>
    <w:rsid w:val="70DE7EBC"/>
    <w:rsid w:val="70ED7FE3"/>
    <w:rsid w:val="710937D8"/>
    <w:rsid w:val="71215F49"/>
    <w:rsid w:val="714566CD"/>
    <w:rsid w:val="72236713"/>
    <w:rsid w:val="726478B6"/>
    <w:rsid w:val="726C7788"/>
    <w:rsid w:val="727275EF"/>
    <w:rsid w:val="72813003"/>
    <w:rsid w:val="728661BD"/>
    <w:rsid w:val="729C1D30"/>
    <w:rsid w:val="73504BDF"/>
    <w:rsid w:val="73510455"/>
    <w:rsid w:val="736253FB"/>
    <w:rsid w:val="736A4915"/>
    <w:rsid w:val="736C240E"/>
    <w:rsid w:val="73B50536"/>
    <w:rsid w:val="74251BDC"/>
    <w:rsid w:val="745F52E7"/>
    <w:rsid w:val="74731122"/>
    <w:rsid w:val="74A5519C"/>
    <w:rsid w:val="74EC3198"/>
    <w:rsid w:val="75087284"/>
    <w:rsid w:val="75AC58E1"/>
    <w:rsid w:val="75DA6217"/>
    <w:rsid w:val="75E25FA2"/>
    <w:rsid w:val="75F05766"/>
    <w:rsid w:val="762363F6"/>
    <w:rsid w:val="763A0BF6"/>
    <w:rsid w:val="76882BE8"/>
    <w:rsid w:val="76A449F6"/>
    <w:rsid w:val="77281FEE"/>
    <w:rsid w:val="77DA5AC6"/>
    <w:rsid w:val="77EB4D7B"/>
    <w:rsid w:val="78025003"/>
    <w:rsid w:val="78326E6A"/>
    <w:rsid w:val="78471FE1"/>
    <w:rsid w:val="78A57B7B"/>
    <w:rsid w:val="78A84346"/>
    <w:rsid w:val="7923098F"/>
    <w:rsid w:val="797C0C9E"/>
    <w:rsid w:val="79C52305"/>
    <w:rsid w:val="7A450DFE"/>
    <w:rsid w:val="7A5473A4"/>
    <w:rsid w:val="7AB95ABF"/>
    <w:rsid w:val="7B0A3F04"/>
    <w:rsid w:val="7B1727C7"/>
    <w:rsid w:val="7B70337F"/>
    <w:rsid w:val="7B953934"/>
    <w:rsid w:val="7C236022"/>
    <w:rsid w:val="7C6B3778"/>
    <w:rsid w:val="7C724246"/>
    <w:rsid w:val="7C8C3248"/>
    <w:rsid w:val="7CB750CB"/>
    <w:rsid w:val="7D144EEA"/>
    <w:rsid w:val="7D2E4979"/>
    <w:rsid w:val="7D6C760A"/>
    <w:rsid w:val="7DA20B35"/>
    <w:rsid w:val="7DF32C82"/>
    <w:rsid w:val="7EA54A11"/>
    <w:rsid w:val="7EBF25B5"/>
    <w:rsid w:val="7EEE545B"/>
    <w:rsid w:val="7F131B2C"/>
    <w:rsid w:val="7F3209C0"/>
    <w:rsid w:val="7FD56A23"/>
    <w:rsid w:val="7FDB024B"/>
    <w:rsid w:val="7FF76B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70" w:lineRule="exact"/>
      <w:ind w:left="0" w:firstLine="640" w:firstLineChars="200"/>
      <w:jc w:val="both"/>
    </w:pPr>
    <w:rPr>
      <w:rFonts w:eastAsia="方正仿宋_GBK" w:asciiTheme="minorAscii" w:hAnsiTheme="minorAscii" w:cstheme="minorBidi"/>
      <w:kern w:val="2"/>
      <w:sz w:val="32"/>
      <w:szCs w:val="24"/>
      <w:lang w:val="en-US" w:eastAsia="zh-CN" w:bidi="ar-SA"/>
    </w:rPr>
  </w:style>
  <w:style w:type="paragraph" w:styleId="2">
    <w:name w:val="heading 1"/>
    <w:basedOn w:val="1"/>
    <w:next w:val="1"/>
    <w:qFormat/>
    <w:uiPriority w:val="0"/>
    <w:pPr>
      <w:keepNext/>
      <w:keepLines/>
      <w:spacing w:beforeLines="0" w:beforeAutospacing="0" w:afterLines="0" w:afterAutospacing="0" w:line="570" w:lineRule="exact"/>
      <w:ind w:left="0" w:firstLine="0" w:firstLineChars="0"/>
      <w:jc w:val="center"/>
      <w:outlineLvl w:val="0"/>
    </w:pPr>
    <w:rPr>
      <w:rFonts w:ascii="FT Thymes" w:hAnsi="FT Thymes" w:eastAsia="方正小标宋_GBK"/>
      <w:kern w:val="44"/>
      <w:sz w:val="44"/>
    </w:rPr>
  </w:style>
  <w:style w:type="paragraph" w:styleId="3">
    <w:name w:val="heading 2"/>
    <w:basedOn w:val="1"/>
    <w:next w:val="1"/>
    <w:unhideWhenUsed/>
    <w:qFormat/>
    <w:uiPriority w:val="0"/>
    <w:pPr>
      <w:keepNext/>
      <w:keepLines/>
      <w:spacing w:beforeLines="0" w:beforeAutospacing="0" w:afterLines="0" w:afterAutospacing="0" w:line="570" w:lineRule="exact"/>
      <w:ind w:left="0" w:firstLine="640" w:firstLineChars="200"/>
      <w:outlineLvl w:val="1"/>
    </w:pPr>
    <w:rPr>
      <w:rFonts w:ascii="Arial" w:hAnsi="Arial" w:eastAsia="黑体"/>
    </w:rPr>
  </w:style>
  <w:style w:type="paragraph" w:styleId="4">
    <w:name w:val="heading 3"/>
    <w:basedOn w:val="1"/>
    <w:next w:val="1"/>
    <w:unhideWhenUsed/>
    <w:qFormat/>
    <w:uiPriority w:val="0"/>
    <w:pPr>
      <w:keepNext/>
      <w:keepLines/>
      <w:spacing w:beforeLines="0" w:beforeAutospacing="0" w:afterLines="0" w:afterAutospacing="0" w:line="570" w:lineRule="exact"/>
      <w:ind w:left="0" w:firstLine="640" w:firstLineChars="200"/>
      <w:outlineLvl w:val="2"/>
    </w:pPr>
    <w:rPr>
      <w:rFonts w:eastAsia="方正楷体_GBK" w:asciiTheme="minorAscii" w:hAnsiTheme="minorAscii"/>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ind w:firstLine="0" w:firstLineChars="0"/>
      <w:jc w:val="left"/>
    </w:pPr>
    <w:rPr>
      <w:rFonts w:eastAsiaTheme="minorEastAsia"/>
      <w:sz w:val="32"/>
    </w:rPr>
  </w:style>
  <w:style w:type="table" w:styleId="7">
    <w:name w:val="Table Grid"/>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云南省林业厅</Company>
  <Pages>5</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2026-04-07T10:21:00Z</dcterms:created>
  <dc:creator>刘丹妮</dc:creator>
  <cp:lastModifiedBy>刘丹妮</cp:lastModifiedBy>
  <dcterms:modified xsi:type="dcterms:W3CDTF">2026-04-07T10:21:49Z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7916039700A543038783354E4DCFCC37_11</vt:lpwstr>
  </property>
  <property fmtid="{D5CDD505-2E9C-101B-9397-08002B2CF9AE}" pid="4" name="KSOTemplateDocerSaveRecord">
    <vt:lpwstr>eyJoZGlkIjoiZmNmM2Y3MTdkMmUxMzNmYmJkMWE3ZGExZDEyZmYzMDEiLCJ1c2VySWQiOiI0NTM1MDUxNDkifQ==</vt:lpwstr>
  </property>
</Properties>
</file>