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918301">
      <w:pPr>
        <w:pStyle w:val="9"/>
        <w:spacing w:line="590" w:lineRule="atLeast"/>
        <w:jc w:val="center"/>
      </w:pPr>
      <w:r>
        <w:rPr>
          <w:rFonts w:ascii="方正小标宋简体" w:hAnsi="方正小标宋简体" w:eastAsia="方正小标宋简体" w:cs="方正小标宋简体"/>
          <w:sz w:val="36"/>
          <w:szCs w:val="36"/>
        </w:rPr>
        <w:t>云南省</w:t>
      </w:r>
      <w:r>
        <w:rPr>
          <w:rFonts w:hint="eastAsia" w:ascii="方正小标宋简体" w:hAnsi="方正小标宋简体" w:eastAsia="方正小标宋简体" w:cs="方正小标宋简体"/>
          <w:sz w:val="36"/>
          <w:szCs w:val="36"/>
        </w:rPr>
        <w:t>寄生虫病防治所</w:t>
      </w:r>
      <w:r>
        <w:rPr>
          <w:rFonts w:ascii="方正小标宋简体" w:hAnsi="方正小标宋简体" w:eastAsia="方正小标宋简体" w:cs="方正小标宋简体"/>
          <w:sz w:val="36"/>
          <w:szCs w:val="36"/>
        </w:rPr>
        <w:t>2019年度部门决算</w:t>
      </w:r>
    </w:p>
    <w:p w14:paraId="72A575DF">
      <w:pPr>
        <w:pStyle w:val="9"/>
        <w:spacing w:line="590" w:lineRule="atLeast"/>
        <w:jc w:val="center"/>
      </w:pPr>
      <w:r>
        <w:rPr>
          <w:rFonts w:ascii="Times New Roman" w:hAnsi="Times New Roman" w:eastAsia="Times New Roman" w:cs="Times New Roman"/>
          <w:sz w:val="36"/>
          <w:szCs w:val="36"/>
        </w:rPr>
        <w:t> </w:t>
      </w:r>
    </w:p>
    <w:p w14:paraId="602C76DA">
      <w:pPr>
        <w:pStyle w:val="9"/>
        <w:spacing w:line="590" w:lineRule="atLeast"/>
        <w:jc w:val="center"/>
      </w:pPr>
      <w:r>
        <w:rPr>
          <w:rFonts w:ascii="黑体" w:hAnsi="黑体" w:eastAsia="黑体" w:cs="黑体"/>
          <w:sz w:val="36"/>
          <w:szCs w:val="36"/>
        </w:rPr>
        <w:t>目录</w:t>
      </w:r>
    </w:p>
    <w:p w14:paraId="0A419374">
      <w:pPr>
        <w:pStyle w:val="9"/>
        <w:spacing w:line="590" w:lineRule="atLeast"/>
        <w:jc w:val="left"/>
      </w:pPr>
      <w:r>
        <w:rPr>
          <w:rFonts w:ascii="黑体" w:hAnsi="黑体" w:eastAsia="黑体" w:cs="黑体"/>
          <w:sz w:val="30"/>
          <w:szCs w:val="30"/>
        </w:rPr>
        <w:t>第一部分</w:t>
      </w:r>
      <w:r>
        <w:rPr>
          <w:rFonts w:ascii="Calibri" w:hAnsi="Calibri" w:eastAsia="Calibri" w:cs="Calibri"/>
          <w:sz w:val="30"/>
          <w:szCs w:val="30"/>
        </w:rPr>
        <w:t>  </w:t>
      </w:r>
      <w:r>
        <w:rPr>
          <w:rFonts w:ascii="黑体" w:hAnsi="黑体" w:eastAsia="黑体" w:cs="黑体"/>
          <w:sz w:val="30"/>
          <w:szCs w:val="30"/>
        </w:rPr>
        <w:t>云南省</w:t>
      </w:r>
      <w:r>
        <w:rPr>
          <w:rFonts w:hint="eastAsia" w:ascii="黑体" w:hAnsi="黑体" w:eastAsia="黑体" w:cs="黑体"/>
          <w:sz w:val="30"/>
          <w:szCs w:val="30"/>
        </w:rPr>
        <w:t>寄生虫病防治所</w:t>
      </w:r>
      <w:r>
        <w:rPr>
          <w:rFonts w:ascii="黑体" w:hAnsi="黑体" w:eastAsia="黑体" w:cs="黑体"/>
          <w:sz w:val="30"/>
          <w:szCs w:val="30"/>
        </w:rPr>
        <w:t>概况</w:t>
      </w:r>
    </w:p>
    <w:p w14:paraId="7686EA0C">
      <w:pPr>
        <w:pStyle w:val="9"/>
        <w:spacing w:line="590" w:lineRule="atLeast"/>
        <w:jc w:val="left"/>
      </w:pPr>
      <w:r>
        <w:rPr>
          <w:rFonts w:ascii="楷体" w:hAnsi="楷体" w:eastAsia="楷体" w:cs="楷体"/>
          <w:sz w:val="30"/>
          <w:szCs w:val="30"/>
        </w:rPr>
        <w:t>一、主要职能</w:t>
      </w:r>
    </w:p>
    <w:p w14:paraId="1A0C00C0">
      <w:pPr>
        <w:pStyle w:val="9"/>
        <w:spacing w:line="590" w:lineRule="atLeast"/>
        <w:jc w:val="left"/>
      </w:pPr>
      <w:r>
        <w:rPr>
          <w:rFonts w:ascii="楷体" w:hAnsi="楷体" w:eastAsia="楷体" w:cs="楷体"/>
          <w:sz w:val="30"/>
          <w:szCs w:val="30"/>
        </w:rPr>
        <w:t>二、部门基本情况</w:t>
      </w:r>
    </w:p>
    <w:p w14:paraId="4DFE2E8D">
      <w:pPr>
        <w:pStyle w:val="9"/>
        <w:spacing w:line="590" w:lineRule="atLeast"/>
        <w:jc w:val="left"/>
      </w:pPr>
      <w:r>
        <w:rPr>
          <w:rFonts w:ascii="黑体" w:hAnsi="黑体" w:eastAsia="黑体" w:cs="黑体"/>
          <w:sz w:val="30"/>
          <w:szCs w:val="30"/>
        </w:rPr>
        <w:t>第二部分</w:t>
      </w:r>
      <w:r>
        <w:rPr>
          <w:rFonts w:ascii="Calibri" w:hAnsi="Calibri" w:eastAsia="Calibri" w:cs="Calibri"/>
          <w:sz w:val="30"/>
          <w:szCs w:val="30"/>
        </w:rPr>
        <w:t>  </w:t>
      </w:r>
      <w:r>
        <w:rPr>
          <w:rFonts w:ascii="黑体" w:hAnsi="黑体" w:eastAsia="黑体" w:cs="黑体"/>
          <w:sz w:val="30"/>
          <w:szCs w:val="30"/>
        </w:rPr>
        <w:t>2019年度部门决算表</w:t>
      </w:r>
    </w:p>
    <w:p w14:paraId="7BABFD6D">
      <w:pPr>
        <w:pStyle w:val="9"/>
        <w:spacing w:line="590" w:lineRule="atLeast"/>
        <w:jc w:val="left"/>
      </w:pPr>
      <w:r>
        <w:rPr>
          <w:rFonts w:ascii="楷体" w:hAnsi="楷体" w:eastAsia="楷体" w:cs="楷体"/>
          <w:sz w:val="30"/>
          <w:szCs w:val="30"/>
        </w:rPr>
        <w:t>一、收入支出决算总表</w:t>
      </w:r>
    </w:p>
    <w:p w14:paraId="55AEA6E5">
      <w:pPr>
        <w:pStyle w:val="9"/>
        <w:spacing w:line="590" w:lineRule="atLeast"/>
        <w:jc w:val="left"/>
      </w:pPr>
      <w:r>
        <w:rPr>
          <w:rFonts w:ascii="楷体" w:hAnsi="楷体" w:eastAsia="楷体" w:cs="楷体"/>
          <w:sz w:val="30"/>
          <w:szCs w:val="30"/>
        </w:rPr>
        <w:t>二、收入决算表</w:t>
      </w:r>
    </w:p>
    <w:p w14:paraId="66559830">
      <w:pPr>
        <w:pStyle w:val="9"/>
        <w:spacing w:line="590" w:lineRule="atLeast"/>
        <w:jc w:val="left"/>
      </w:pPr>
      <w:r>
        <w:rPr>
          <w:rFonts w:ascii="楷体" w:hAnsi="楷体" w:eastAsia="楷体" w:cs="楷体"/>
          <w:sz w:val="30"/>
          <w:szCs w:val="30"/>
        </w:rPr>
        <w:t>三、支出决算表</w:t>
      </w:r>
    </w:p>
    <w:p w14:paraId="52DF7CEB">
      <w:pPr>
        <w:pStyle w:val="9"/>
        <w:spacing w:line="590" w:lineRule="atLeast"/>
        <w:jc w:val="left"/>
      </w:pPr>
      <w:r>
        <w:rPr>
          <w:rFonts w:ascii="楷体" w:hAnsi="楷体" w:eastAsia="楷体" w:cs="楷体"/>
          <w:sz w:val="30"/>
          <w:szCs w:val="30"/>
        </w:rPr>
        <w:t>四、财政拨款收入支出决算总表</w:t>
      </w:r>
    </w:p>
    <w:p w14:paraId="42FDF2DE">
      <w:pPr>
        <w:pStyle w:val="9"/>
        <w:spacing w:line="590" w:lineRule="atLeast"/>
        <w:jc w:val="left"/>
      </w:pPr>
      <w:r>
        <w:rPr>
          <w:rFonts w:ascii="楷体" w:hAnsi="楷体" w:eastAsia="楷体" w:cs="楷体"/>
          <w:sz w:val="30"/>
          <w:szCs w:val="30"/>
        </w:rPr>
        <w:t>五、一般公共预算财政拨款收入支出决算表</w:t>
      </w:r>
    </w:p>
    <w:p w14:paraId="7BE74400">
      <w:pPr>
        <w:pStyle w:val="9"/>
        <w:spacing w:line="590" w:lineRule="atLeast"/>
        <w:jc w:val="left"/>
      </w:pPr>
      <w:r>
        <w:rPr>
          <w:rFonts w:ascii="楷体" w:hAnsi="楷体" w:eastAsia="楷体" w:cs="楷体"/>
          <w:sz w:val="30"/>
          <w:szCs w:val="30"/>
        </w:rPr>
        <w:t>六、一般公共预算财政拨款基本支出决算表</w:t>
      </w:r>
    </w:p>
    <w:p w14:paraId="0C0C4420">
      <w:pPr>
        <w:pStyle w:val="9"/>
        <w:spacing w:line="590" w:lineRule="atLeast"/>
        <w:jc w:val="left"/>
      </w:pPr>
      <w:r>
        <w:rPr>
          <w:rFonts w:ascii="楷体" w:hAnsi="楷体" w:eastAsia="楷体" w:cs="楷体"/>
          <w:sz w:val="30"/>
          <w:szCs w:val="30"/>
        </w:rPr>
        <w:t>七、政府性基金预算财政拨款收入支出决算表</w:t>
      </w:r>
    </w:p>
    <w:p w14:paraId="12495B09">
      <w:pPr>
        <w:pStyle w:val="9"/>
        <w:spacing w:line="590" w:lineRule="atLeast"/>
        <w:jc w:val="left"/>
      </w:pPr>
      <w:r>
        <w:rPr>
          <w:rFonts w:ascii="楷体" w:hAnsi="楷体" w:eastAsia="楷体" w:cs="楷体"/>
          <w:sz w:val="30"/>
          <w:szCs w:val="30"/>
        </w:rPr>
        <w:t>八、</w:t>
      </w:r>
      <w:r>
        <w:rPr>
          <w:rFonts w:ascii="Times New Roman" w:hAnsi="Times New Roman" w:eastAsia="Times New Roman" w:cs="Times New Roman"/>
          <w:sz w:val="30"/>
          <w:szCs w:val="30"/>
        </w:rPr>
        <w:t>“</w:t>
      </w:r>
      <w:r>
        <w:rPr>
          <w:rFonts w:ascii="楷体" w:hAnsi="楷体" w:eastAsia="楷体" w:cs="楷体"/>
          <w:sz w:val="30"/>
          <w:szCs w:val="30"/>
        </w:rPr>
        <w:t>三公</w:t>
      </w:r>
      <w:r>
        <w:rPr>
          <w:rFonts w:ascii="Times New Roman" w:hAnsi="Times New Roman" w:eastAsia="Times New Roman" w:cs="Times New Roman"/>
          <w:sz w:val="30"/>
          <w:szCs w:val="30"/>
        </w:rPr>
        <w:t>”</w:t>
      </w:r>
      <w:r>
        <w:rPr>
          <w:rFonts w:ascii="楷体" w:hAnsi="楷体" w:eastAsia="楷体" w:cs="楷体"/>
          <w:sz w:val="30"/>
          <w:szCs w:val="30"/>
        </w:rPr>
        <w:t>经费、行政参公单位机关运行经费情况表</w:t>
      </w:r>
    </w:p>
    <w:p w14:paraId="5AFFC3C2">
      <w:pPr>
        <w:pStyle w:val="9"/>
        <w:spacing w:line="590" w:lineRule="atLeast"/>
        <w:jc w:val="left"/>
      </w:pPr>
      <w:r>
        <w:rPr>
          <w:rFonts w:ascii="黑体" w:hAnsi="黑体" w:eastAsia="黑体" w:cs="黑体"/>
          <w:sz w:val="30"/>
          <w:szCs w:val="30"/>
        </w:rPr>
        <w:t>第三部分</w:t>
      </w:r>
      <w:r>
        <w:rPr>
          <w:rFonts w:ascii="Calibri" w:hAnsi="Calibri" w:eastAsia="Calibri" w:cs="Calibri"/>
          <w:sz w:val="30"/>
          <w:szCs w:val="30"/>
        </w:rPr>
        <w:t>  </w:t>
      </w:r>
      <w:r>
        <w:rPr>
          <w:rFonts w:ascii="黑体" w:hAnsi="黑体" w:eastAsia="黑体" w:cs="黑体"/>
          <w:sz w:val="30"/>
          <w:szCs w:val="30"/>
        </w:rPr>
        <w:t>2019年度部门决算情况说明</w:t>
      </w:r>
    </w:p>
    <w:p w14:paraId="613188E3">
      <w:pPr>
        <w:pStyle w:val="9"/>
        <w:spacing w:line="590" w:lineRule="atLeast"/>
        <w:jc w:val="left"/>
      </w:pPr>
      <w:r>
        <w:rPr>
          <w:rFonts w:ascii="楷体" w:hAnsi="楷体" w:eastAsia="楷体" w:cs="楷体"/>
          <w:sz w:val="30"/>
          <w:szCs w:val="30"/>
        </w:rPr>
        <w:t>一、收入决算情况说明</w:t>
      </w:r>
    </w:p>
    <w:p w14:paraId="3B767DFC">
      <w:pPr>
        <w:pStyle w:val="9"/>
        <w:spacing w:line="590" w:lineRule="atLeast"/>
        <w:jc w:val="left"/>
      </w:pPr>
      <w:r>
        <w:rPr>
          <w:rFonts w:ascii="楷体" w:hAnsi="楷体" w:eastAsia="楷体" w:cs="楷体"/>
          <w:sz w:val="30"/>
          <w:szCs w:val="30"/>
        </w:rPr>
        <w:t>二、支出决算情况说明</w:t>
      </w:r>
    </w:p>
    <w:p w14:paraId="5924A350">
      <w:pPr>
        <w:pStyle w:val="9"/>
        <w:spacing w:line="590" w:lineRule="atLeast"/>
        <w:jc w:val="left"/>
      </w:pPr>
      <w:r>
        <w:rPr>
          <w:rFonts w:ascii="楷体" w:hAnsi="楷体" w:eastAsia="楷体" w:cs="楷体"/>
          <w:sz w:val="30"/>
          <w:szCs w:val="30"/>
        </w:rPr>
        <w:t>三、一般公共预算财政拨款支出决算情况说明</w:t>
      </w:r>
    </w:p>
    <w:p w14:paraId="64CF469E">
      <w:pPr>
        <w:pStyle w:val="9"/>
        <w:spacing w:line="590" w:lineRule="atLeast"/>
        <w:jc w:val="left"/>
      </w:pPr>
      <w:r>
        <w:rPr>
          <w:rFonts w:ascii="楷体" w:hAnsi="楷体" w:eastAsia="楷体" w:cs="楷体"/>
          <w:sz w:val="30"/>
          <w:szCs w:val="30"/>
        </w:rPr>
        <w:t>四、一般公共预算财政拨款</w:t>
      </w:r>
      <w:r>
        <w:rPr>
          <w:rFonts w:ascii="Times New Roman" w:hAnsi="Times New Roman" w:eastAsia="Times New Roman" w:cs="Times New Roman"/>
          <w:sz w:val="30"/>
          <w:szCs w:val="30"/>
        </w:rPr>
        <w:t>“</w:t>
      </w:r>
      <w:r>
        <w:rPr>
          <w:rFonts w:ascii="楷体" w:hAnsi="楷体" w:eastAsia="楷体" w:cs="楷体"/>
          <w:sz w:val="30"/>
          <w:szCs w:val="30"/>
        </w:rPr>
        <w:t>三公</w:t>
      </w:r>
      <w:r>
        <w:rPr>
          <w:rFonts w:ascii="Times New Roman" w:hAnsi="Times New Roman" w:eastAsia="Times New Roman" w:cs="Times New Roman"/>
          <w:sz w:val="30"/>
          <w:szCs w:val="30"/>
        </w:rPr>
        <w:t>”</w:t>
      </w:r>
      <w:r>
        <w:rPr>
          <w:rFonts w:ascii="楷体" w:hAnsi="楷体" w:eastAsia="楷体" w:cs="楷体"/>
          <w:sz w:val="30"/>
          <w:szCs w:val="30"/>
        </w:rPr>
        <w:t>经费支出决算情况说明</w:t>
      </w:r>
    </w:p>
    <w:p w14:paraId="14036A4E">
      <w:pPr>
        <w:pStyle w:val="9"/>
        <w:spacing w:line="590" w:lineRule="atLeast"/>
        <w:jc w:val="left"/>
      </w:pPr>
      <w:r>
        <w:rPr>
          <w:rFonts w:ascii="黑体" w:hAnsi="黑体" w:eastAsia="黑体" w:cs="黑体"/>
          <w:sz w:val="30"/>
          <w:szCs w:val="30"/>
        </w:rPr>
        <w:t>第四部分</w:t>
      </w:r>
      <w:r>
        <w:rPr>
          <w:rFonts w:ascii="Calibri" w:hAnsi="Calibri" w:eastAsia="Calibri" w:cs="Calibri"/>
          <w:sz w:val="30"/>
          <w:szCs w:val="30"/>
        </w:rPr>
        <w:t>  </w:t>
      </w:r>
      <w:r>
        <w:rPr>
          <w:rFonts w:ascii="黑体" w:hAnsi="黑体" w:eastAsia="黑体" w:cs="黑体"/>
          <w:sz w:val="30"/>
          <w:szCs w:val="30"/>
        </w:rPr>
        <w:t>其他重要事项及相关口径情况说明</w:t>
      </w:r>
    </w:p>
    <w:p w14:paraId="403E3EA8">
      <w:pPr>
        <w:pStyle w:val="9"/>
        <w:spacing w:line="590" w:lineRule="atLeast"/>
        <w:jc w:val="left"/>
      </w:pPr>
      <w:r>
        <w:rPr>
          <w:rFonts w:ascii="楷体" w:hAnsi="楷体" w:eastAsia="楷体" w:cs="楷体"/>
          <w:sz w:val="30"/>
          <w:szCs w:val="30"/>
        </w:rPr>
        <w:t>一、机关运行经费支出情况</w:t>
      </w:r>
    </w:p>
    <w:p w14:paraId="09B01E30">
      <w:pPr>
        <w:pStyle w:val="9"/>
        <w:spacing w:line="590" w:lineRule="atLeast"/>
        <w:jc w:val="left"/>
      </w:pPr>
      <w:r>
        <w:rPr>
          <w:rFonts w:ascii="楷体" w:hAnsi="楷体" w:eastAsia="楷体" w:cs="楷体"/>
          <w:sz w:val="30"/>
          <w:szCs w:val="30"/>
        </w:rPr>
        <w:t>二、国有资产占有情况</w:t>
      </w:r>
    </w:p>
    <w:p w14:paraId="56A0A9EC">
      <w:pPr>
        <w:pStyle w:val="9"/>
        <w:spacing w:line="590" w:lineRule="atLeast"/>
        <w:jc w:val="left"/>
      </w:pPr>
      <w:r>
        <w:rPr>
          <w:rFonts w:ascii="楷体" w:hAnsi="楷体" w:eastAsia="楷体" w:cs="楷体"/>
          <w:sz w:val="30"/>
          <w:szCs w:val="30"/>
        </w:rPr>
        <w:t>三、政府采购支出情况</w:t>
      </w:r>
    </w:p>
    <w:p w14:paraId="6BF132D1">
      <w:pPr>
        <w:pStyle w:val="9"/>
        <w:spacing w:line="590" w:lineRule="atLeast"/>
        <w:jc w:val="left"/>
      </w:pPr>
      <w:r>
        <w:rPr>
          <w:rFonts w:ascii="楷体" w:hAnsi="楷体" w:eastAsia="楷体" w:cs="楷体"/>
          <w:sz w:val="30"/>
          <w:szCs w:val="30"/>
        </w:rPr>
        <w:t>四、部门绩效自评情况</w:t>
      </w:r>
    </w:p>
    <w:p w14:paraId="60BCE127">
      <w:pPr>
        <w:pStyle w:val="9"/>
        <w:spacing w:line="590" w:lineRule="atLeast"/>
        <w:jc w:val="left"/>
      </w:pPr>
      <w:r>
        <w:rPr>
          <w:rFonts w:ascii="楷体" w:hAnsi="楷体" w:eastAsia="楷体" w:cs="楷体"/>
          <w:sz w:val="30"/>
          <w:szCs w:val="30"/>
        </w:rPr>
        <w:t>（一）项目支出绩效自评/项目支出绩效自评报告（表）</w:t>
      </w:r>
    </w:p>
    <w:p w14:paraId="02377DDC">
      <w:pPr>
        <w:pStyle w:val="9"/>
        <w:spacing w:line="590" w:lineRule="atLeast"/>
        <w:jc w:val="left"/>
      </w:pPr>
      <w:r>
        <w:rPr>
          <w:rFonts w:ascii="楷体" w:hAnsi="楷体" w:eastAsia="楷体" w:cs="楷体"/>
          <w:sz w:val="30"/>
          <w:szCs w:val="30"/>
        </w:rPr>
        <w:t>（二）部门整体支出绩效自评报告</w:t>
      </w:r>
    </w:p>
    <w:p w14:paraId="6BE8B6CE">
      <w:pPr>
        <w:pStyle w:val="9"/>
        <w:spacing w:line="590" w:lineRule="atLeast"/>
        <w:jc w:val="left"/>
      </w:pPr>
      <w:r>
        <w:rPr>
          <w:rFonts w:ascii="楷体" w:hAnsi="楷体" w:eastAsia="楷体" w:cs="楷体"/>
          <w:sz w:val="30"/>
          <w:szCs w:val="30"/>
        </w:rPr>
        <w:t>（三）部门整体支出绩效自评表</w:t>
      </w:r>
    </w:p>
    <w:p w14:paraId="15393BBB">
      <w:pPr>
        <w:pStyle w:val="9"/>
        <w:spacing w:line="590" w:lineRule="atLeast"/>
        <w:jc w:val="left"/>
      </w:pPr>
      <w:r>
        <w:rPr>
          <w:rFonts w:ascii="楷体" w:hAnsi="楷体" w:eastAsia="楷体" w:cs="楷体"/>
          <w:sz w:val="30"/>
          <w:szCs w:val="30"/>
        </w:rPr>
        <w:t>五、其他重要事项情况说明</w:t>
      </w:r>
    </w:p>
    <w:p w14:paraId="70E2F241">
      <w:pPr>
        <w:pStyle w:val="9"/>
        <w:spacing w:line="590" w:lineRule="atLeast"/>
        <w:jc w:val="left"/>
      </w:pPr>
      <w:r>
        <w:rPr>
          <w:rFonts w:ascii="楷体" w:hAnsi="楷体" w:eastAsia="楷体" w:cs="楷体"/>
          <w:sz w:val="30"/>
          <w:szCs w:val="30"/>
        </w:rPr>
        <w:t>六、相关口径说明</w:t>
      </w:r>
    </w:p>
    <w:p w14:paraId="02E5F823">
      <w:pPr>
        <w:pStyle w:val="9"/>
        <w:spacing w:line="590" w:lineRule="atLeast"/>
        <w:jc w:val="left"/>
      </w:pPr>
      <w:r>
        <w:rPr>
          <w:rFonts w:ascii="黑体" w:hAnsi="黑体" w:eastAsia="黑体" w:cs="黑体"/>
          <w:sz w:val="30"/>
          <w:szCs w:val="30"/>
        </w:rPr>
        <w:t>第五部分</w:t>
      </w:r>
      <w:r>
        <w:rPr>
          <w:rFonts w:ascii="Calibri" w:hAnsi="Calibri" w:eastAsia="Calibri" w:cs="Calibri"/>
          <w:sz w:val="30"/>
          <w:szCs w:val="30"/>
        </w:rPr>
        <w:t>  </w:t>
      </w:r>
      <w:r>
        <w:rPr>
          <w:rFonts w:ascii="黑体" w:hAnsi="黑体" w:eastAsia="黑体" w:cs="黑体"/>
          <w:sz w:val="30"/>
          <w:szCs w:val="30"/>
        </w:rPr>
        <w:t>名词解释</w:t>
      </w:r>
    </w:p>
    <w:p w14:paraId="4AAE6387">
      <w:pPr>
        <w:pStyle w:val="9"/>
        <w:spacing w:line="600" w:lineRule="atLeast"/>
        <w:jc w:val="left"/>
      </w:pPr>
      <w:r>
        <w:rPr>
          <w:rFonts w:ascii="Times New Roman" w:hAnsi="Times New Roman" w:eastAsia="Times New Roman" w:cs="Times New Roman"/>
          <w:sz w:val="30"/>
          <w:szCs w:val="30"/>
        </w:rPr>
        <w:t> </w:t>
      </w:r>
    </w:p>
    <w:p w14:paraId="17F61237">
      <w:pPr>
        <w:pStyle w:val="9"/>
        <w:spacing w:line="600" w:lineRule="atLeast"/>
        <w:jc w:val="left"/>
      </w:pPr>
      <w:r>
        <w:rPr>
          <w:rFonts w:ascii="Times New Roman" w:hAnsi="Times New Roman" w:eastAsia="Times New Roman" w:cs="Times New Roman"/>
          <w:sz w:val="30"/>
          <w:szCs w:val="30"/>
        </w:rPr>
        <w:t> </w:t>
      </w:r>
    </w:p>
    <w:p w14:paraId="0C417E87">
      <w:pPr>
        <w:pStyle w:val="9"/>
        <w:spacing w:line="600" w:lineRule="atLeast"/>
        <w:jc w:val="left"/>
      </w:pPr>
      <w:r>
        <w:rPr>
          <w:rFonts w:ascii="Times New Roman" w:hAnsi="Times New Roman" w:eastAsia="Times New Roman" w:cs="Times New Roman"/>
          <w:sz w:val="30"/>
          <w:szCs w:val="30"/>
        </w:rPr>
        <w:t> </w:t>
      </w:r>
    </w:p>
    <w:p w14:paraId="57F4E0BD">
      <w:pPr>
        <w:pStyle w:val="9"/>
        <w:spacing w:line="600" w:lineRule="atLeast"/>
        <w:jc w:val="left"/>
      </w:pPr>
      <w:r>
        <w:rPr>
          <w:rFonts w:ascii="Times New Roman" w:hAnsi="Times New Roman" w:eastAsia="Times New Roman" w:cs="Times New Roman"/>
          <w:sz w:val="30"/>
          <w:szCs w:val="30"/>
        </w:rPr>
        <w:t> </w:t>
      </w:r>
    </w:p>
    <w:p w14:paraId="76800494">
      <w:pPr>
        <w:pStyle w:val="9"/>
        <w:spacing w:line="590" w:lineRule="atLeast"/>
        <w:jc w:val="center"/>
        <w:rPr>
          <w:rFonts w:ascii="黑体" w:hAnsi="黑体" w:eastAsia="黑体" w:cs="黑体"/>
          <w:sz w:val="32"/>
          <w:szCs w:val="32"/>
        </w:rPr>
      </w:pPr>
    </w:p>
    <w:p w14:paraId="61F5AF0C">
      <w:pPr>
        <w:pStyle w:val="9"/>
        <w:spacing w:line="590" w:lineRule="atLeast"/>
        <w:jc w:val="center"/>
        <w:rPr>
          <w:rFonts w:ascii="黑体" w:hAnsi="黑体" w:eastAsia="黑体" w:cs="黑体"/>
          <w:sz w:val="32"/>
          <w:szCs w:val="32"/>
        </w:rPr>
      </w:pPr>
    </w:p>
    <w:p w14:paraId="1F63538B">
      <w:pPr>
        <w:pStyle w:val="9"/>
        <w:spacing w:line="590" w:lineRule="atLeast"/>
        <w:jc w:val="center"/>
        <w:rPr>
          <w:rFonts w:ascii="黑体" w:hAnsi="黑体" w:eastAsia="黑体" w:cs="黑体"/>
          <w:sz w:val="32"/>
          <w:szCs w:val="32"/>
        </w:rPr>
      </w:pPr>
    </w:p>
    <w:p w14:paraId="0BC12450">
      <w:pPr>
        <w:pStyle w:val="9"/>
        <w:spacing w:line="590" w:lineRule="atLeast"/>
        <w:jc w:val="center"/>
        <w:rPr>
          <w:rFonts w:ascii="黑体" w:hAnsi="黑体" w:eastAsia="黑体" w:cs="黑体"/>
          <w:sz w:val="32"/>
          <w:szCs w:val="32"/>
        </w:rPr>
      </w:pPr>
    </w:p>
    <w:p w14:paraId="73EB537A">
      <w:pPr>
        <w:pStyle w:val="9"/>
        <w:spacing w:line="590" w:lineRule="atLeast"/>
        <w:jc w:val="center"/>
        <w:rPr>
          <w:rFonts w:ascii="黑体" w:hAnsi="黑体" w:eastAsia="黑体" w:cs="黑体"/>
          <w:sz w:val="32"/>
          <w:szCs w:val="32"/>
        </w:rPr>
      </w:pPr>
    </w:p>
    <w:p w14:paraId="78A9850D">
      <w:pPr>
        <w:pStyle w:val="9"/>
        <w:spacing w:line="590" w:lineRule="atLeast"/>
        <w:jc w:val="center"/>
        <w:rPr>
          <w:rFonts w:ascii="黑体" w:hAnsi="黑体" w:eastAsia="黑体" w:cs="黑体"/>
          <w:sz w:val="32"/>
          <w:szCs w:val="32"/>
        </w:rPr>
      </w:pPr>
    </w:p>
    <w:p w14:paraId="35D68A41">
      <w:pPr>
        <w:pStyle w:val="9"/>
        <w:spacing w:line="590" w:lineRule="atLeast"/>
        <w:jc w:val="center"/>
        <w:rPr>
          <w:rFonts w:ascii="黑体" w:hAnsi="黑体" w:eastAsia="黑体" w:cs="黑体"/>
          <w:sz w:val="32"/>
          <w:szCs w:val="32"/>
        </w:rPr>
      </w:pPr>
    </w:p>
    <w:p w14:paraId="644309A2">
      <w:pPr>
        <w:pStyle w:val="9"/>
        <w:spacing w:line="590" w:lineRule="atLeast"/>
        <w:jc w:val="center"/>
      </w:pPr>
      <w:r>
        <w:rPr>
          <w:rFonts w:ascii="黑体" w:hAnsi="黑体" w:eastAsia="黑体" w:cs="黑体"/>
          <w:sz w:val="32"/>
          <w:szCs w:val="32"/>
        </w:rPr>
        <w:t>第一部分</w:t>
      </w:r>
      <w:r>
        <w:rPr>
          <w:rFonts w:ascii="Calibri" w:hAnsi="Calibri" w:eastAsia="Calibri" w:cs="Calibri"/>
          <w:sz w:val="32"/>
          <w:szCs w:val="32"/>
        </w:rPr>
        <w:t>  </w:t>
      </w:r>
      <w:r>
        <w:rPr>
          <w:rFonts w:ascii="黑体" w:hAnsi="黑体" w:eastAsia="黑体" w:cs="黑体"/>
          <w:sz w:val="32"/>
          <w:szCs w:val="32"/>
        </w:rPr>
        <w:t>云南省</w:t>
      </w:r>
      <w:r>
        <w:rPr>
          <w:rFonts w:hint="eastAsia" w:ascii="黑体" w:hAnsi="黑体" w:eastAsia="黑体" w:cs="黑体"/>
          <w:sz w:val="32"/>
          <w:szCs w:val="32"/>
        </w:rPr>
        <w:t>寄生虫病防治所</w:t>
      </w:r>
      <w:r>
        <w:rPr>
          <w:rFonts w:ascii="黑体" w:hAnsi="黑体" w:eastAsia="黑体" w:cs="黑体"/>
          <w:sz w:val="32"/>
          <w:szCs w:val="32"/>
        </w:rPr>
        <w:t>概况</w:t>
      </w:r>
    </w:p>
    <w:p w14:paraId="30F64A7C">
      <w:pPr>
        <w:pStyle w:val="9"/>
        <w:spacing w:line="590" w:lineRule="atLeast"/>
        <w:ind w:firstLine="600"/>
      </w:pPr>
      <w:r>
        <w:rPr>
          <w:rFonts w:ascii="黑体" w:hAnsi="黑体" w:eastAsia="黑体" w:cs="黑体"/>
          <w:sz w:val="30"/>
          <w:szCs w:val="30"/>
        </w:rPr>
        <w:t>一、主要职能</w:t>
      </w:r>
    </w:p>
    <w:p w14:paraId="08FB51A1">
      <w:pPr>
        <w:pStyle w:val="9"/>
        <w:spacing w:line="590" w:lineRule="atLeast"/>
        <w:ind w:firstLine="600"/>
      </w:pPr>
      <w:r>
        <w:rPr>
          <w:rFonts w:ascii="楷体" w:hAnsi="楷体" w:eastAsia="楷体" w:cs="楷体"/>
          <w:sz w:val="30"/>
          <w:szCs w:val="30"/>
        </w:rPr>
        <w:t>（一）主要职能</w:t>
      </w:r>
    </w:p>
    <w:p w14:paraId="4A0A76EA">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我所隶属云南省卫生健康委员会，属于财政全额拨款单位。主要工作任务为预防控制全省以疟疾、登革热、乙脑为主的寄生虫病，为其提供技术支持及防治保障。具体开展寄生虫病监测防治与咨询，相关疾病研究与技术指导，相关专业技术培训等。</w:t>
      </w:r>
    </w:p>
    <w:p w14:paraId="4E40876E">
      <w:pPr>
        <w:pStyle w:val="9"/>
        <w:spacing w:line="590" w:lineRule="atLeast"/>
        <w:ind w:firstLine="600"/>
      </w:pPr>
      <w:r>
        <w:rPr>
          <w:rFonts w:ascii="楷体" w:hAnsi="楷体" w:eastAsia="楷体" w:cs="楷体"/>
          <w:sz w:val="30"/>
          <w:szCs w:val="30"/>
        </w:rPr>
        <w:t>（二）2019年度重点工作任务介绍</w:t>
      </w:r>
    </w:p>
    <w:p w14:paraId="00B1BEA7">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2019年寄生虫病和虫媒传染病防控工作认真贯彻“预防为主”方针，全面落实省委省政府决策部署和国家卫生健康委、省卫生健康为相关工作要求，以人民健康为核心，以“健康中国”、“健康云南”为主线，以健康扶贫为重点，实现了寄生虫病和虫媒传染病总发病率总体平稳、重点寄生虫病和虫媒传染病防控取得新进展等目标，2019年认真贯彻落实中央八项规定</w:t>
      </w:r>
      <w:bookmarkStart w:id="0" w:name="_GoBack"/>
      <w:bookmarkEnd w:id="0"/>
      <w:r>
        <w:rPr>
          <w:rFonts w:hint="eastAsia" w:ascii="仿宋" w:hAnsi="仿宋" w:eastAsia="仿宋" w:cs="仿宋"/>
          <w:sz w:val="30"/>
          <w:szCs w:val="30"/>
        </w:rPr>
        <w:t>和有关文件及精神，认真开展“厉行勤俭节约，严控‘三公经费’支出”专项治理活动，各项工作顺利推进，各项工作任务圆满完成。</w:t>
      </w:r>
    </w:p>
    <w:p w14:paraId="48C4319C">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2019年全省无重大寄生虫病和虫媒传染病流行和暴发，疫情总体平稳。登革热疫情上升势头得到有效控制。早布置、早安排，落实网格化管理，积极采取综合防控措施，疫情暴发县数减少、波及范围缩小，推广电子化媒介监测，监测效率和质量不断提高。举办登革热和寨卡病毒病实验室检测、监测和诊断治疗技术培训，为登革热和寨卡病毒病防控与处置储备了大量技术人才。多次派出专家进驻瑞丽、临沧、景洪、勐海、勐腊等县（市），开展登革热疫情处置指导和寨卡病毒疑似病例核实工作，较好的遏制了登革热疫情蔓延和扩散。</w:t>
      </w:r>
    </w:p>
    <w:p w14:paraId="2236443C">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消除疟疾进程稳步推进。按照《全国消除疟疾监测方案（2015版本）》文件要求，开展了覆盖省级、州市级、县级和重点乡镇医疗记过疟疾诊断和规范治疗培训、媒介现场调查与分类鉴定、疟疾病例个案调查和疫点处置技能培训和全省疾控、疟疾监测哨点医院资料准备相关培训。截至2019年12月31日，全省16个州（市）中除德宏和怒江州外，其余14个州（市）已经通过省级除疟疾考核评估认证。全省129个县（市、区）中除盈江县外，其他128个通过州（市）级消除考核评估认证；疟疾报告病例数明显减少，首次全国排名第五位；继续维持2017年以来全省无本地感染病例报告。开展清点拨源活动，在盈江县那邦镇建立分子筛查实验室，提高疟疾检出率。</w:t>
      </w:r>
    </w:p>
    <w:p w14:paraId="69FDEAB8">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跨境南亚东南亚联防联控合作进展顺利，目前已在老挝、缅甸、孟加拉和柬埔寨建立15个疟疾/登革热联防联控联合工作站，在周边国家边境地区（老挝、缅甸、越南）建立21个监测哨点，境外卫生人员（含硕士研究生）培养数量增多质量明显提高。</w:t>
      </w:r>
    </w:p>
    <w:p w14:paraId="5D41A895">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面对严峻的防控形势，结合我省2019年寄生虫病和虫媒传染病防控工作情况，为实现2019年 “消除疟疾加快推进，确保按时达标，不拖全国后腿；不发生大的重点寄生虫病和虫媒传染病流行，确保全年疫情总体平稳，报告发病率低于2019年水平、低于全国平均水平”的目标，将按照省卫生健康委疾控局寄生虫病和虫媒传染病防控工作安排部署，真抓实干，狠抓落实，确保各项防控工作落实到位。</w:t>
      </w:r>
    </w:p>
    <w:p w14:paraId="66BAB4A3">
      <w:pPr>
        <w:pStyle w:val="9"/>
        <w:spacing w:line="590" w:lineRule="atLeast"/>
        <w:ind w:firstLine="600"/>
      </w:pPr>
      <w:r>
        <w:rPr>
          <w:rFonts w:ascii="黑体" w:hAnsi="黑体" w:eastAsia="黑体" w:cs="黑体"/>
          <w:sz w:val="30"/>
          <w:szCs w:val="30"/>
        </w:rPr>
        <w:t>二、部门基本情况</w:t>
      </w:r>
    </w:p>
    <w:p w14:paraId="576C6560">
      <w:pPr>
        <w:pStyle w:val="9"/>
        <w:spacing w:line="590" w:lineRule="atLeast"/>
        <w:ind w:firstLine="600"/>
      </w:pPr>
      <w:r>
        <w:rPr>
          <w:rFonts w:ascii="楷体" w:hAnsi="楷体" w:eastAsia="楷体" w:cs="楷体"/>
          <w:sz w:val="30"/>
          <w:szCs w:val="30"/>
        </w:rPr>
        <w:t>（一）部门决算单位构成</w:t>
      </w:r>
    </w:p>
    <w:p w14:paraId="4E50B09B">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本所前身为云南疟疾防治研究所， 2001年经省政府批准成立云南省寄生虫病防治所，是一个独立核算的二级预算单位，属于公共卫生机构。主要分设机构有行政办、人事科、规财科、党政办公室、总务科、科研教育科、疟疾防治科、应急办、项目办公室、虫媒病毒性防治科、蠕虫病防治科、临床科12个部门。</w:t>
      </w:r>
    </w:p>
    <w:p w14:paraId="37996686">
      <w:pPr>
        <w:pStyle w:val="9"/>
        <w:spacing w:line="590" w:lineRule="atLeast"/>
        <w:ind w:firstLine="600"/>
      </w:pPr>
      <w:r>
        <w:rPr>
          <w:rFonts w:ascii="楷体" w:hAnsi="楷体" w:eastAsia="楷体" w:cs="楷体"/>
          <w:sz w:val="30"/>
          <w:szCs w:val="30"/>
        </w:rPr>
        <w:t>（二）部门人员和车辆的编制及实有情况</w:t>
      </w:r>
    </w:p>
    <w:p w14:paraId="5CBC5733">
      <w:pPr>
        <w:pStyle w:val="9"/>
        <w:spacing w:line="590" w:lineRule="atLeast"/>
        <w:ind w:firstLine="450" w:firstLineChars="150"/>
        <w:rPr>
          <w:rFonts w:ascii="仿宋" w:hAnsi="仿宋" w:eastAsia="仿宋" w:cs="仿宋"/>
          <w:sz w:val="30"/>
          <w:szCs w:val="30"/>
        </w:rPr>
      </w:pPr>
      <w:r>
        <w:rPr>
          <w:rFonts w:hint="eastAsia" w:ascii="仿宋" w:hAnsi="仿宋" w:eastAsia="仿宋" w:cs="仿宋"/>
          <w:sz w:val="30"/>
          <w:szCs w:val="30"/>
        </w:rPr>
        <w:t>我所编制95人，其中事业编制95人，分管理岗位10个，专业技术岗位80个，工勤编制5人。年末实有在职人员85人，比去年增加了1人，主要是新招2人，辞职1人，离退休人员46人；年末公共预算财政拨款（补助）开支人数131人，在职人员85人，离休人员1人，退休人员45人。详见表1.</w:t>
      </w:r>
    </w:p>
    <w:tbl>
      <w:tblPr>
        <w:tblStyle w:val="5"/>
        <w:tblW w:w="8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0"/>
        <w:gridCol w:w="2131"/>
      </w:tblGrid>
      <w:tr w14:paraId="34B70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64E52DE">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年度</w:t>
            </w:r>
          </w:p>
        </w:tc>
        <w:tc>
          <w:tcPr>
            <w:tcW w:w="2130" w:type="dxa"/>
          </w:tcPr>
          <w:p w14:paraId="1DAB29B6">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2017</w:t>
            </w:r>
          </w:p>
        </w:tc>
        <w:tc>
          <w:tcPr>
            <w:tcW w:w="2130" w:type="dxa"/>
          </w:tcPr>
          <w:p w14:paraId="3FF3A36A">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2018</w:t>
            </w:r>
          </w:p>
        </w:tc>
        <w:tc>
          <w:tcPr>
            <w:tcW w:w="2131" w:type="dxa"/>
          </w:tcPr>
          <w:p w14:paraId="587E9323">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2019</w:t>
            </w:r>
          </w:p>
        </w:tc>
      </w:tr>
      <w:tr w14:paraId="4CF8B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68F57745">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在职人员</w:t>
            </w:r>
          </w:p>
        </w:tc>
        <w:tc>
          <w:tcPr>
            <w:tcW w:w="2130" w:type="dxa"/>
          </w:tcPr>
          <w:p w14:paraId="3C624FC2">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77</w:t>
            </w:r>
          </w:p>
        </w:tc>
        <w:tc>
          <w:tcPr>
            <w:tcW w:w="2130" w:type="dxa"/>
          </w:tcPr>
          <w:p w14:paraId="4F901E31">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84</w:t>
            </w:r>
          </w:p>
        </w:tc>
        <w:tc>
          <w:tcPr>
            <w:tcW w:w="2131" w:type="dxa"/>
          </w:tcPr>
          <w:p w14:paraId="3D59F18C">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85</w:t>
            </w:r>
          </w:p>
        </w:tc>
      </w:tr>
      <w:tr w14:paraId="5C893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97C5DEE">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离休人员</w:t>
            </w:r>
          </w:p>
        </w:tc>
        <w:tc>
          <w:tcPr>
            <w:tcW w:w="2130" w:type="dxa"/>
          </w:tcPr>
          <w:p w14:paraId="244C4254">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1</w:t>
            </w:r>
          </w:p>
        </w:tc>
        <w:tc>
          <w:tcPr>
            <w:tcW w:w="2130" w:type="dxa"/>
          </w:tcPr>
          <w:p w14:paraId="6235A3FD">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1</w:t>
            </w:r>
          </w:p>
        </w:tc>
        <w:tc>
          <w:tcPr>
            <w:tcW w:w="2131" w:type="dxa"/>
          </w:tcPr>
          <w:p w14:paraId="0CCA7B42">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1</w:t>
            </w:r>
          </w:p>
        </w:tc>
      </w:tr>
      <w:tr w14:paraId="1483F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18CF14B5">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退休人员</w:t>
            </w:r>
          </w:p>
        </w:tc>
        <w:tc>
          <w:tcPr>
            <w:tcW w:w="2130" w:type="dxa"/>
          </w:tcPr>
          <w:p w14:paraId="3DC9B677">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45</w:t>
            </w:r>
          </w:p>
        </w:tc>
        <w:tc>
          <w:tcPr>
            <w:tcW w:w="2130" w:type="dxa"/>
          </w:tcPr>
          <w:p w14:paraId="3AFCEF01">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45</w:t>
            </w:r>
          </w:p>
        </w:tc>
        <w:tc>
          <w:tcPr>
            <w:tcW w:w="2131" w:type="dxa"/>
          </w:tcPr>
          <w:p w14:paraId="0FA400D9">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45</w:t>
            </w:r>
          </w:p>
        </w:tc>
      </w:tr>
      <w:tr w14:paraId="79E4A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45C284A">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合计</w:t>
            </w:r>
          </w:p>
        </w:tc>
        <w:tc>
          <w:tcPr>
            <w:tcW w:w="2130" w:type="dxa"/>
          </w:tcPr>
          <w:p w14:paraId="3705FC86">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123</w:t>
            </w:r>
          </w:p>
        </w:tc>
        <w:tc>
          <w:tcPr>
            <w:tcW w:w="2130" w:type="dxa"/>
          </w:tcPr>
          <w:p w14:paraId="6CCC8404">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130</w:t>
            </w:r>
          </w:p>
        </w:tc>
        <w:tc>
          <w:tcPr>
            <w:tcW w:w="2131" w:type="dxa"/>
          </w:tcPr>
          <w:p w14:paraId="7CD0C534">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131</w:t>
            </w:r>
          </w:p>
        </w:tc>
      </w:tr>
    </w:tbl>
    <w:p w14:paraId="055AB721">
      <w:pPr>
        <w:pStyle w:val="9"/>
        <w:rPr>
          <w:rFonts w:ascii="仿宋" w:hAnsi="仿宋" w:eastAsia="仿宋" w:cs="仿宋"/>
          <w:sz w:val="30"/>
          <w:szCs w:val="30"/>
        </w:rPr>
      </w:pPr>
    </w:p>
    <w:p w14:paraId="60C313C0">
      <w:pPr>
        <w:pStyle w:val="9"/>
        <w:ind w:firstLine="450" w:firstLineChars="150"/>
        <w:rPr>
          <w:rFonts w:ascii="仿宋" w:hAnsi="仿宋" w:eastAsia="仿宋" w:cs="仿宋"/>
          <w:sz w:val="30"/>
          <w:szCs w:val="30"/>
        </w:rPr>
      </w:pPr>
      <w:r>
        <w:rPr>
          <w:rFonts w:ascii="仿宋" w:hAnsi="仿宋" w:eastAsia="仿宋" w:cs="仿宋"/>
          <w:sz w:val="30"/>
          <w:szCs w:val="30"/>
        </w:rPr>
        <w:t>实有车辆编制</w:t>
      </w:r>
      <w:r>
        <w:rPr>
          <w:rFonts w:hint="eastAsia" w:ascii="仿宋" w:hAnsi="仿宋" w:eastAsia="仿宋" w:cs="仿宋"/>
          <w:sz w:val="30"/>
          <w:szCs w:val="30"/>
        </w:rPr>
        <w:t>10</w:t>
      </w:r>
      <w:r>
        <w:rPr>
          <w:rFonts w:ascii="仿宋" w:hAnsi="仿宋" w:eastAsia="仿宋" w:cs="仿宋"/>
          <w:sz w:val="30"/>
          <w:szCs w:val="30"/>
        </w:rPr>
        <w:t>辆，在编实有车辆</w:t>
      </w:r>
      <w:r>
        <w:rPr>
          <w:rFonts w:hint="eastAsia" w:ascii="仿宋" w:hAnsi="仿宋" w:eastAsia="仿宋" w:cs="仿宋"/>
          <w:sz w:val="30"/>
          <w:szCs w:val="30"/>
        </w:rPr>
        <w:t>8</w:t>
      </w:r>
      <w:r>
        <w:rPr>
          <w:rFonts w:ascii="仿宋" w:hAnsi="仿宋" w:eastAsia="仿宋" w:cs="仿宋"/>
          <w:sz w:val="30"/>
          <w:szCs w:val="30"/>
        </w:rPr>
        <w:t>辆。</w:t>
      </w:r>
    </w:p>
    <w:p w14:paraId="709031B4">
      <w:pPr>
        <w:pStyle w:val="9"/>
        <w:spacing w:line="590" w:lineRule="atLeast"/>
      </w:pPr>
    </w:p>
    <w:p w14:paraId="04B6937A">
      <w:pPr>
        <w:pStyle w:val="9"/>
        <w:spacing w:line="590" w:lineRule="atLeast"/>
        <w:jc w:val="center"/>
        <w:rPr>
          <w:rFonts w:ascii="黑体" w:hAnsi="黑体" w:eastAsia="黑体" w:cs="黑体"/>
          <w:sz w:val="32"/>
          <w:szCs w:val="32"/>
        </w:rPr>
      </w:pPr>
    </w:p>
    <w:p w14:paraId="6CF1EECF">
      <w:pPr>
        <w:pStyle w:val="9"/>
        <w:spacing w:line="590" w:lineRule="atLeast"/>
        <w:jc w:val="center"/>
      </w:pPr>
      <w:r>
        <w:rPr>
          <w:rFonts w:ascii="黑体" w:hAnsi="黑体" w:eastAsia="黑体" w:cs="黑体"/>
          <w:sz w:val="32"/>
          <w:szCs w:val="32"/>
        </w:rPr>
        <w:t>第二部分</w:t>
      </w:r>
      <w:r>
        <w:rPr>
          <w:rFonts w:ascii="Calibri" w:hAnsi="Calibri" w:eastAsia="Calibri" w:cs="Calibri"/>
          <w:sz w:val="32"/>
          <w:szCs w:val="32"/>
        </w:rPr>
        <w:t>  </w:t>
      </w:r>
      <w:r>
        <w:rPr>
          <w:rFonts w:ascii="黑体" w:hAnsi="黑体" w:eastAsia="黑体" w:cs="黑体"/>
          <w:sz w:val="32"/>
          <w:szCs w:val="32"/>
        </w:rPr>
        <w:t>2019年度部门决算表</w:t>
      </w:r>
    </w:p>
    <w:p w14:paraId="6D7F8228">
      <w:pPr>
        <w:pStyle w:val="9"/>
        <w:spacing w:line="590" w:lineRule="atLeast"/>
        <w:jc w:val="center"/>
        <w:rPr>
          <w:rFonts w:ascii="仿宋" w:hAnsi="仿宋" w:eastAsia="仿宋" w:cs="仿宋"/>
          <w:sz w:val="30"/>
          <w:szCs w:val="30"/>
        </w:rPr>
      </w:pPr>
      <w:r>
        <w:rPr>
          <w:rFonts w:ascii="仿宋" w:hAnsi="仿宋" w:eastAsia="仿宋" w:cs="仿宋"/>
          <w:sz w:val="30"/>
          <w:szCs w:val="30"/>
        </w:rPr>
        <w:t>（详见附件）</w:t>
      </w:r>
    </w:p>
    <w:p w14:paraId="63009C1E">
      <w:pPr>
        <w:pStyle w:val="9"/>
        <w:spacing w:line="590" w:lineRule="atLeast"/>
        <w:jc w:val="center"/>
        <w:rPr>
          <w:rFonts w:eastAsia="宋体"/>
        </w:rPr>
      </w:pPr>
      <w:r>
        <w:rPr>
          <w:rFonts w:ascii="Times New Roman" w:hAnsi="Times New Roman" w:eastAsia="Times New Roman" w:cs="Times New Roman"/>
          <w:sz w:val="30"/>
          <w:szCs w:val="30"/>
        </w:rPr>
        <w:t> </w:t>
      </w:r>
    </w:p>
    <w:p w14:paraId="77F2FEC8">
      <w:pPr>
        <w:pStyle w:val="9"/>
        <w:spacing w:line="590" w:lineRule="atLeast"/>
        <w:jc w:val="center"/>
      </w:pPr>
      <w:r>
        <w:rPr>
          <w:rFonts w:ascii="黑体" w:hAnsi="黑体" w:eastAsia="黑体" w:cs="黑体"/>
          <w:sz w:val="32"/>
          <w:szCs w:val="32"/>
        </w:rPr>
        <w:t>第三部分</w:t>
      </w:r>
      <w:r>
        <w:rPr>
          <w:rFonts w:ascii="Calibri" w:hAnsi="Calibri" w:eastAsia="Calibri" w:cs="Calibri"/>
          <w:sz w:val="32"/>
          <w:szCs w:val="32"/>
        </w:rPr>
        <w:t>  </w:t>
      </w:r>
      <w:r>
        <w:rPr>
          <w:rFonts w:ascii="黑体" w:hAnsi="黑体" w:eastAsia="黑体" w:cs="黑体"/>
          <w:sz w:val="32"/>
          <w:szCs w:val="32"/>
        </w:rPr>
        <w:t>2019年度部门决算情况说明</w:t>
      </w:r>
    </w:p>
    <w:p w14:paraId="341AC930">
      <w:pPr>
        <w:pStyle w:val="9"/>
        <w:spacing w:line="590" w:lineRule="atLeast"/>
        <w:ind w:firstLine="600"/>
        <w:jc w:val="left"/>
        <w:rPr>
          <w:rFonts w:ascii="黑体" w:hAnsi="黑体" w:eastAsia="黑体" w:cs="黑体"/>
          <w:sz w:val="30"/>
          <w:szCs w:val="30"/>
        </w:rPr>
      </w:pPr>
      <w:r>
        <w:rPr>
          <w:rFonts w:ascii="黑体" w:hAnsi="黑体" w:eastAsia="黑体" w:cs="黑体"/>
          <w:sz w:val="30"/>
          <w:szCs w:val="30"/>
        </w:rPr>
        <w:t>一、收入决算情况说明</w:t>
      </w:r>
    </w:p>
    <w:p w14:paraId="3E9747D5">
      <w:pPr>
        <w:pStyle w:val="9"/>
        <w:spacing w:line="590" w:lineRule="atLeast"/>
        <w:ind w:firstLine="600"/>
        <w:jc w:val="left"/>
      </w:pPr>
      <w:r>
        <w:rPr>
          <w:rFonts w:hint="eastAsia" w:ascii="仿宋" w:hAnsi="仿宋" w:eastAsia="仿宋" w:cs="仿宋"/>
          <w:sz w:val="30"/>
          <w:szCs w:val="30"/>
        </w:rPr>
        <w:t>云南省寄生虫病防治所</w:t>
      </w:r>
      <w:r>
        <w:rPr>
          <w:rFonts w:ascii="仿宋" w:hAnsi="仿宋" w:eastAsia="仿宋" w:cs="仿宋"/>
          <w:sz w:val="30"/>
          <w:szCs w:val="30"/>
        </w:rPr>
        <w:t>2019年度收入合</w:t>
      </w:r>
      <w:r>
        <w:rPr>
          <w:rFonts w:hint="eastAsia" w:ascii="仿宋_GB2312" w:hAnsi="仿宋" w:eastAsia="仿宋_GB2312" w:cs="仿宋"/>
          <w:sz w:val="30"/>
          <w:szCs w:val="30"/>
        </w:rPr>
        <w:t>计</w:t>
      </w:r>
      <w:r>
        <w:rPr>
          <w:rFonts w:hint="eastAsia" w:ascii="仿宋" w:hAnsi="仿宋" w:eastAsia="仿宋" w:cs="Arial"/>
          <w:sz w:val="30"/>
          <w:szCs w:val="30"/>
        </w:rPr>
        <w:t>37,575,934.92</w:t>
      </w:r>
    </w:p>
    <w:p w14:paraId="3E407504">
      <w:pPr>
        <w:pStyle w:val="9"/>
        <w:spacing w:line="590" w:lineRule="atLeast"/>
        <w:jc w:val="left"/>
        <w:rPr>
          <w:rFonts w:ascii="仿宋" w:hAnsi="仿宋" w:eastAsia="仿宋" w:cs="仿宋"/>
          <w:sz w:val="30"/>
          <w:szCs w:val="30"/>
        </w:rPr>
      </w:pPr>
      <w:r>
        <w:rPr>
          <w:rFonts w:ascii="仿宋" w:hAnsi="仿宋" w:eastAsia="仿宋" w:cs="仿宋"/>
          <w:sz w:val="30"/>
          <w:szCs w:val="30"/>
        </w:rPr>
        <w:t>元。其中：财政拨款收入31,607,153.85元，占总收入的84.12%；上级补助收入0.00万元，占总收入的0.00%；事业收入5,608,066.91元，占总收入的14.92%；经营收入</w:t>
      </w:r>
      <w:r>
        <w:rPr>
          <w:rFonts w:hint="eastAsia" w:ascii="仿宋" w:hAnsi="仿宋" w:eastAsia="仿宋" w:cs="仿宋"/>
          <w:sz w:val="30"/>
          <w:szCs w:val="30"/>
        </w:rPr>
        <w:t>0.00</w:t>
      </w:r>
      <w:r>
        <w:rPr>
          <w:rFonts w:ascii="仿宋" w:hAnsi="仿宋" w:eastAsia="仿宋" w:cs="仿宋"/>
          <w:sz w:val="30"/>
          <w:szCs w:val="30"/>
        </w:rPr>
        <w:t>元，占总收入的0.</w:t>
      </w:r>
      <w:r>
        <w:rPr>
          <w:rFonts w:hint="eastAsia" w:ascii="仿宋" w:hAnsi="仿宋" w:eastAsia="仿宋" w:cs="仿宋"/>
          <w:sz w:val="30"/>
          <w:szCs w:val="30"/>
        </w:rPr>
        <w:t>00</w:t>
      </w:r>
      <w:r>
        <w:rPr>
          <w:rFonts w:ascii="仿宋" w:hAnsi="仿宋" w:eastAsia="仿宋" w:cs="仿宋"/>
          <w:sz w:val="30"/>
          <w:szCs w:val="30"/>
        </w:rPr>
        <w:t>%；附属单位缴款收入0.00万元，占总收入的0.00%；其他收入360,714.16元，占总收入的0.96%。</w:t>
      </w:r>
      <w:r>
        <w:rPr>
          <w:rFonts w:hint="eastAsia" w:ascii="仿宋" w:hAnsi="仿宋" w:eastAsia="仿宋" w:cs="仿宋"/>
          <w:sz w:val="30"/>
          <w:szCs w:val="30"/>
        </w:rPr>
        <w:t>总收入较上年增长1.02%，其中：</w:t>
      </w:r>
      <w:r>
        <w:rPr>
          <w:rFonts w:ascii="仿宋" w:hAnsi="仿宋" w:eastAsia="仿宋" w:cs="仿宋"/>
          <w:sz w:val="30"/>
          <w:szCs w:val="30"/>
        </w:rPr>
        <w:t>财政拨款收入</w:t>
      </w:r>
      <w:r>
        <w:rPr>
          <w:rFonts w:hint="eastAsia" w:ascii="仿宋" w:hAnsi="仿宋" w:eastAsia="仿宋" w:cs="仿宋"/>
          <w:sz w:val="30"/>
          <w:szCs w:val="30"/>
        </w:rPr>
        <w:t>较上年增长7.47%，主要原因是：</w:t>
      </w:r>
      <w:r>
        <w:rPr>
          <w:rFonts w:hint="eastAsia" w:ascii="仿宋_GB2312" w:hAnsi="仿宋" w:eastAsia="仿宋_GB2312"/>
          <w:sz w:val="32"/>
          <w:szCs w:val="32"/>
        </w:rPr>
        <w:t>主要是中央补助资金、科技厅财政补助项目资金、商务厅项目资金增加</w:t>
      </w:r>
      <w:r>
        <w:rPr>
          <w:rFonts w:hint="eastAsia" w:ascii="仿宋" w:hAnsi="仿宋" w:eastAsia="仿宋" w:cs="仿宋"/>
          <w:sz w:val="30"/>
          <w:szCs w:val="30"/>
        </w:rPr>
        <w:t>；</w:t>
      </w:r>
      <w:r>
        <w:rPr>
          <w:rFonts w:hint="eastAsia" w:ascii="仿宋_GB2312" w:hAnsi="仿宋" w:eastAsia="仿宋_GB2312"/>
          <w:sz w:val="32"/>
          <w:szCs w:val="32"/>
        </w:rPr>
        <w:t>事业收入增加</w:t>
      </w:r>
      <w:r>
        <w:rPr>
          <w:rFonts w:ascii="仿宋_GB2312" w:hAnsi="仿宋" w:eastAsia="仿宋_GB2312"/>
          <w:sz w:val="32"/>
          <w:szCs w:val="32"/>
        </w:rPr>
        <w:t>5,397,413.73</w:t>
      </w:r>
      <w:r>
        <w:rPr>
          <w:rFonts w:hint="eastAsia" w:ascii="仿宋_GB2312" w:hAnsi="仿宋" w:eastAsia="仿宋_GB2312"/>
          <w:sz w:val="32"/>
          <w:szCs w:val="32"/>
        </w:rPr>
        <w:t>元，主要是:根据政府会计制度，横向课题收入从其他收入计入事业收入-非同级财政拨款</w:t>
      </w:r>
      <w:r>
        <w:rPr>
          <w:rFonts w:hint="eastAsia" w:ascii="仿宋" w:hAnsi="仿宋" w:eastAsia="仿宋" w:cs="仿宋"/>
          <w:sz w:val="30"/>
          <w:szCs w:val="30"/>
        </w:rPr>
        <w:t>；其他收入比2018年增加减少95.24%，主要原因是：</w:t>
      </w:r>
      <w:r>
        <w:rPr>
          <w:rFonts w:hint="eastAsia" w:ascii="仿宋_GB2312" w:hAnsi="仿宋" w:eastAsia="仿宋_GB2312"/>
          <w:sz w:val="32"/>
          <w:szCs w:val="32"/>
        </w:rPr>
        <w:t>根据政府会计制度，横向课题收入从其他收入计入事业收入-非同级财政拨款</w:t>
      </w:r>
      <w:r>
        <w:rPr>
          <w:rFonts w:hint="eastAsia" w:ascii="仿宋" w:hAnsi="仿宋" w:eastAsia="仿宋" w:cs="仿宋"/>
          <w:sz w:val="30"/>
          <w:szCs w:val="30"/>
        </w:rPr>
        <w:t>。</w:t>
      </w:r>
    </w:p>
    <w:p w14:paraId="05373EC9">
      <w:pPr>
        <w:pStyle w:val="9"/>
        <w:spacing w:line="590" w:lineRule="atLeast"/>
        <w:ind w:firstLine="600"/>
        <w:jc w:val="left"/>
      </w:pPr>
      <w:r>
        <w:rPr>
          <w:rFonts w:ascii="黑体" w:hAnsi="黑体" w:eastAsia="黑体" w:cs="黑体"/>
          <w:sz w:val="30"/>
          <w:szCs w:val="30"/>
        </w:rPr>
        <w:t>二、支出决算情况说明</w:t>
      </w:r>
    </w:p>
    <w:p w14:paraId="0757A5A2">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云南省寄生虫病防治所</w:t>
      </w:r>
      <w:r>
        <w:rPr>
          <w:rFonts w:ascii="仿宋" w:hAnsi="仿宋" w:eastAsia="仿宋" w:cs="仿宋"/>
          <w:sz w:val="30"/>
          <w:szCs w:val="30"/>
        </w:rPr>
        <w:t>2019年度支出合计36,096,364.62元。其中：基本支出15,203,838.66元，占总支出的42.12%；项目支出20,892,525.96元，占总支出的57.88%；上缴上级支出、经营支出、对附属单位补助支出共</w:t>
      </w:r>
      <w:r>
        <w:rPr>
          <w:rFonts w:hint="eastAsia" w:ascii="仿宋" w:hAnsi="仿宋" w:eastAsia="仿宋" w:cs="仿宋"/>
          <w:sz w:val="30"/>
          <w:szCs w:val="30"/>
        </w:rPr>
        <w:t>0.00</w:t>
      </w:r>
      <w:r>
        <w:rPr>
          <w:rFonts w:ascii="仿宋" w:hAnsi="仿宋" w:eastAsia="仿宋" w:cs="仿宋"/>
          <w:sz w:val="30"/>
          <w:szCs w:val="30"/>
        </w:rPr>
        <w:t>元，占总支出的</w:t>
      </w:r>
      <w:r>
        <w:rPr>
          <w:rFonts w:hint="eastAsia" w:ascii="仿宋" w:hAnsi="仿宋" w:eastAsia="仿宋" w:cs="仿宋"/>
          <w:sz w:val="30"/>
          <w:szCs w:val="30"/>
        </w:rPr>
        <w:t>0.00</w:t>
      </w:r>
      <w:r>
        <w:rPr>
          <w:rFonts w:ascii="仿宋" w:hAnsi="仿宋" w:eastAsia="仿宋" w:cs="仿宋"/>
          <w:sz w:val="30"/>
          <w:szCs w:val="30"/>
        </w:rPr>
        <w:t>%。</w:t>
      </w:r>
      <w:r>
        <w:rPr>
          <w:rFonts w:hint="eastAsia" w:ascii="仿宋" w:hAnsi="仿宋" w:eastAsia="仿宋" w:cs="仿宋"/>
          <w:sz w:val="30"/>
          <w:szCs w:val="30"/>
        </w:rPr>
        <w:t>总支出较上年减少1.47%，其中，基本支出较上年减少0.42</w:t>
      </w:r>
      <w:r>
        <w:rPr>
          <w:rFonts w:hint="eastAsia" w:ascii="宋体" w:hAnsi="宋体" w:eastAsia="方正仿宋_GBK"/>
          <w:color w:val="000000"/>
          <w:sz w:val="32"/>
          <w:szCs w:val="32"/>
        </w:rPr>
        <w:t>%，</w:t>
      </w:r>
      <w:r>
        <w:rPr>
          <w:rFonts w:hint="eastAsia" w:ascii="仿宋" w:hAnsi="仿宋" w:eastAsia="仿宋" w:cs="仿宋"/>
          <w:sz w:val="30"/>
          <w:szCs w:val="30"/>
        </w:rPr>
        <w:t>主要原因是：养老保险缴费比例下调；项目支出较上年减少2.22%，主要原因是：澜湄项目课题结束，横向课题支出减少。</w:t>
      </w:r>
    </w:p>
    <w:p w14:paraId="1A3CA27C">
      <w:pPr>
        <w:pStyle w:val="9"/>
        <w:spacing w:line="590" w:lineRule="atLeast"/>
        <w:ind w:firstLine="600"/>
        <w:jc w:val="left"/>
      </w:pPr>
      <w:r>
        <w:rPr>
          <w:rFonts w:ascii="楷体" w:hAnsi="楷体" w:eastAsia="楷体" w:cs="楷体"/>
          <w:sz w:val="30"/>
          <w:szCs w:val="30"/>
        </w:rPr>
        <w:t>（一）基本支出情况</w:t>
      </w:r>
    </w:p>
    <w:p w14:paraId="6BC8E1A2">
      <w:pPr>
        <w:pStyle w:val="9"/>
        <w:spacing w:line="590" w:lineRule="atLeast"/>
        <w:ind w:firstLine="600"/>
        <w:jc w:val="left"/>
        <w:rPr>
          <w:rFonts w:ascii="仿宋" w:hAnsi="仿宋" w:eastAsia="仿宋" w:cs="仿宋"/>
          <w:sz w:val="30"/>
          <w:szCs w:val="30"/>
        </w:rPr>
      </w:pPr>
      <w:r>
        <w:rPr>
          <w:rFonts w:ascii="仿宋" w:hAnsi="仿宋" w:eastAsia="仿宋" w:cs="仿宋"/>
          <w:sz w:val="30"/>
          <w:szCs w:val="30"/>
        </w:rPr>
        <w:t>2019年度用于保障</w:t>
      </w:r>
      <w:r>
        <w:rPr>
          <w:rFonts w:hint="eastAsia" w:ascii="仿宋" w:hAnsi="仿宋" w:eastAsia="仿宋" w:cs="仿宋"/>
          <w:sz w:val="30"/>
          <w:szCs w:val="30"/>
        </w:rPr>
        <w:t>云南省寄生虫病防治所</w:t>
      </w:r>
      <w:r>
        <w:rPr>
          <w:rFonts w:ascii="仿宋" w:hAnsi="仿宋" w:eastAsia="仿宋" w:cs="仿宋"/>
          <w:sz w:val="30"/>
          <w:szCs w:val="30"/>
        </w:rPr>
        <w:t>机构正常运转的日常支出15,203,838.66元。</w:t>
      </w:r>
      <w:r>
        <w:rPr>
          <w:rFonts w:hint="eastAsia" w:ascii="仿宋" w:hAnsi="仿宋" w:eastAsia="仿宋" w:cs="仿宋"/>
          <w:sz w:val="30"/>
          <w:szCs w:val="30"/>
        </w:rPr>
        <w:t>较上年减少0.42</w:t>
      </w:r>
      <w:r>
        <w:rPr>
          <w:rFonts w:hint="eastAsia" w:ascii="宋体" w:hAnsi="宋体" w:eastAsia="方正仿宋_GBK"/>
          <w:color w:val="000000"/>
          <w:sz w:val="32"/>
          <w:szCs w:val="32"/>
        </w:rPr>
        <w:t>%</w:t>
      </w:r>
      <w:r>
        <w:rPr>
          <w:rFonts w:ascii="仿宋" w:hAnsi="仿宋" w:eastAsia="仿宋" w:cs="仿宋"/>
          <w:sz w:val="30"/>
          <w:szCs w:val="30"/>
        </w:rPr>
        <w:t>，主要原因分析</w:t>
      </w:r>
      <w:r>
        <w:rPr>
          <w:rFonts w:hint="eastAsia" w:ascii="仿宋" w:hAnsi="仿宋" w:eastAsia="仿宋" w:cs="仿宋"/>
          <w:sz w:val="30"/>
          <w:szCs w:val="30"/>
        </w:rPr>
        <w:t>：养老保险缴费比例下调。</w:t>
      </w:r>
      <w:r>
        <w:rPr>
          <w:rFonts w:ascii="仿宋" w:hAnsi="仿宋" w:eastAsia="仿宋" w:cs="仿宋"/>
          <w:sz w:val="30"/>
          <w:szCs w:val="30"/>
        </w:rPr>
        <w:t>包括基本工资、津贴补贴等人员经费支出占基本支出的</w:t>
      </w:r>
      <w:r>
        <w:rPr>
          <w:rFonts w:hint="eastAsia" w:ascii="仿宋" w:hAnsi="仿宋" w:eastAsia="仿宋" w:cs="仿宋"/>
          <w:sz w:val="30"/>
          <w:szCs w:val="30"/>
        </w:rPr>
        <w:t>91.81</w:t>
      </w:r>
      <w:r>
        <w:rPr>
          <w:rFonts w:ascii="仿宋" w:hAnsi="仿宋" w:eastAsia="仿宋" w:cs="仿宋"/>
          <w:sz w:val="30"/>
          <w:szCs w:val="30"/>
        </w:rPr>
        <w:t>%；办公费、印刷费、水电费、办公设备购置等日常公用经费占基本支出的</w:t>
      </w:r>
      <w:r>
        <w:rPr>
          <w:rFonts w:hint="eastAsia" w:ascii="仿宋" w:hAnsi="仿宋" w:eastAsia="仿宋" w:cs="仿宋"/>
          <w:sz w:val="30"/>
          <w:szCs w:val="30"/>
        </w:rPr>
        <w:t>8.19</w:t>
      </w:r>
      <w:r>
        <w:rPr>
          <w:rFonts w:ascii="仿宋" w:hAnsi="仿宋" w:eastAsia="仿宋" w:cs="仿宋"/>
          <w:sz w:val="30"/>
          <w:szCs w:val="30"/>
        </w:rPr>
        <w:t>%。</w:t>
      </w:r>
    </w:p>
    <w:p w14:paraId="0334AB7E">
      <w:pPr>
        <w:pStyle w:val="9"/>
        <w:spacing w:line="590" w:lineRule="atLeast"/>
        <w:ind w:left="420" w:leftChars="175" w:firstLine="252" w:firstLineChars="84"/>
      </w:pPr>
      <w:r>
        <w:rPr>
          <w:rFonts w:ascii="楷体" w:hAnsi="楷体" w:eastAsia="楷体" w:cs="楷体"/>
          <w:sz w:val="30"/>
          <w:szCs w:val="30"/>
        </w:rPr>
        <w:t>（二）项目支出情况</w:t>
      </w:r>
    </w:p>
    <w:p w14:paraId="598402A6">
      <w:pPr>
        <w:pStyle w:val="9"/>
        <w:spacing w:line="590" w:lineRule="atLeast"/>
        <w:ind w:firstLine="600"/>
        <w:jc w:val="left"/>
      </w:pPr>
      <w:r>
        <w:rPr>
          <w:rFonts w:hint="eastAsia" w:ascii="仿宋" w:hAnsi="仿宋" w:eastAsia="仿宋" w:cs="仿宋"/>
          <w:sz w:val="30"/>
          <w:szCs w:val="30"/>
        </w:rPr>
        <w:t>2019年度用于保障云南省寄生虫病防治所机构正常运转的</w:t>
      </w:r>
      <w:r>
        <w:rPr>
          <w:rFonts w:ascii="仿宋" w:hAnsi="仿宋" w:eastAsia="仿宋" w:cs="仿宋"/>
          <w:sz w:val="30"/>
          <w:szCs w:val="30"/>
        </w:rPr>
        <w:t>，用于专项业务工作的经费支出20,892,525.96元。</w:t>
      </w:r>
      <w:r>
        <w:rPr>
          <w:rFonts w:hint="eastAsia" w:ascii="仿宋" w:hAnsi="仿宋" w:eastAsia="仿宋" w:cs="仿宋"/>
          <w:sz w:val="30"/>
          <w:szCs w:val="30"/>
        </w:rPr>
        <w:t>项目支出较上年减少2.22%</w:t>
      </w:r>
      <w:r>
        <w:rPr>
          <w:rFonts w:ascii="仿宋" w:hAnsi="仿宋" w:eastAsia="仿宋" w:cs="仿宋"/>
          <w:sz w:val="30"/>
          <w:szCs w:val="30"/>
        </w:rPr>
        <w:t>，主要原因分析</w:t>
      </w:r>
      <w:r>
        <w:rPr>
          <w:rFonts w:hint="eastAsia" w:ascii="仿宋" w:hAnsi="仿宋" w:eastAsia="仿宋" w:cs="仿宋"/>
          <w:sz w:val="30"/>
          <w:szCs w:val="30"/>
        </w:rPr>
        <w:t>：澜湄项目课题结束，横向课题支出减少</w:t>
      </w:r>
      <w:r>
        <w:rPr>
          <w:rFonts w:ascii="仿宋" w:hAnsi="仿宋" w:eastAsia="仿宋" w:cs="仿宋"/>
          <w:sz w:val="30"/>
          <w:szCs w:val="30"/>
        </w:rPr>
        <w:t>。</w:t>
      </w:r>
    </w:p>
    <w:p w14:paraId="2108009E">
      <w:pPr>
        <w:pStyle w:val="9"/>
        <w:spacing w:line="590" w:lineRule="atLeast"/>
        <w:ind w:firstLine="600"/>
        <w:jc w:val="left"/>
      </w:pPr>
      <w:r>
        <w:rPr>
          <w:rFonts w:ascii="黑体" w:hAnsi="黑体" w:eastAsia="黑体" w:cs="黑体"/>
          <w:sz w:val="30"/>
          <w:szCs w:val="30"/>
        </w:rPr>
        <w:t>三、一般公共预算财政拨款支出决算情况说明</w:t>
      </w:r>
    </w:p>
    <w:p w14:paraId="4EA537FF">
      <w:pPr>
        <w:pStyle w:val="9"/>
        <w:spacing w:line="590" w:lineRule="atLeast"/>
        <w:ind w:firstLine="600"/>
        <w:jc w:val="left"/>
      </w:pPr>
      <w:r>
        <w:rPr>
          <w:rFonts w:ascii="楷体" w:hAnsi="楷体" w:eastAsia="楷体" w:cs="楷体"/>
          <w:sz w:val="30"/>
          <w:szCs w:val="30"/>
        </w:rPr>
        <w:t>（一）一般公共预算财政拨款支出决算总体情况</w:t>
      </w:r>
    </w:p>
    <w:p w14:paraId="0210D2F1">
      <w:pPr>
        <w:pStyle w:val="9"/>
        <w:spacing w:line="590" w:lineRule="atLeast"/>
        <w:ind w:firstLine="600"/>
        <w:jc w:val="left"/>
      </w:pPr>
      <w:r>
        <w:rPr>
          <w:rFonts w:ascii="仿宋" w:hAnsi="仿宋" w:eastAsia="仿宋" w:cs="仿宋"/>
          <w:sz w:val="30"/>
          <w:szCs w:val="30"/>
        </w:rPr>
        <w:t>云南省卫生健康委员会2019年度一般公共预算财政拨款支出30,255,453.85元</w:t>
      </w:r>
      <w:r>
        <w:rPr>
          <w:rFonts w:ascii="Times New Roman" w:hAnsi="Times New Roman" w:eastAsia="Times New Roman" w:cs="Times New Roman"/>
          <w:sz w:val="30"/>
          <w:szCs w:val="30"/>
        </w:rPr>
        <w:t>,</w:t>
      </w:r>
      <w:r>
        <w:rPr>
          <w:rFonts w:ascii="仿宋" w:hAnsi="仿宋" w:eastAsia="仿宋" w:cs="仿宋"/>
          <w:sz w:val="30"/>
          <w:szCs w:val="30"/>
        </w:rPr>
        <w:t>占本年支出合计的83.82%。</w:t>
      </w:r>
      <w:r>
        <w:rPr>
          <w:rFonts w:hint="eastAsia" w:ascii="仿宋" w:hAnsi="仿宋" w:eastAsia="仿宋" w:cs="仿宋"/>
          <w:sz w:val="30"/>
          <w:szCs w:val="30"/>
        </w:rPr>
        <w:t>较上年增长</w:t>
      </w:r>
      <w:r>
        <w:rPr>
          <w:rFonts w:ascii="仿宋" w:hAnsi="仿宋" w:eastAsia="仿宋" w:cs="仿宋"/>
          <w:sz w:val="30"/>
          <w:szCs w:val="30"/>
        </w:rPr>
        <w:t>3.94%,主要原因分析</w:t>
      </w:r>
      <w:r>
        <w:rPr>
          <w:rFonts w:hint="eastAsia" w:ascii="仿宋" w:hAnsi="仿宋" w:eastAsia="仿宋" w:cs="仿宋"/>
          <w:sz w:val="30"/>
          <w:szCs w:val="30"/>
        </w:rPr>
        <w:t>：主要原因是人员增加、调整工资</w:t>
      </w:r>
      <w:r>
        <w:rPr>
          <w:rFonts w:ascii="仿宋" w:hAnsi="仿宋" w:eastAsia="仿宋" w:cs="仿宋"/>
          <w:sz w:val="30"/>
          <w:szCs w:val="30"/>
        </w:rPr>
        <w:t>。</w:t>
      </w:r>
    </w:p>
    <w:p w14:paraId="54CC7093">
      <w:pPr>
        <w:pStyle w:val="9"/>
        <w:spacing w:line="590" w:lineRule="atLeast"/>
        <w:ind w:firstLine="600"/>
        <w:jc w:val="left"/>
      </w:pPr>
      <w:r>
        <w:rPr>
          <w:rFonts w:ascii="楷体" w:hAnsi="楷体" w:eastAsia="楷体" w:cs="楷体"/>
          <w:sz w:val="30"/>
          <w:szCs w:val="30"/>
        </w:rPr>
        <w:t>（二）一般公共预算财政拨款支出决算具体情况</w:t>
      </w:r>
    </w:p>
    <w:p w14:paraId="5588CBF3">
      <w:pPr>
        <w:pStyle w:val="9"/>
        <w:spacing w:line="590" w:lineRule="atLeast"/>
        <w:ind w:firstLine="600"/>
        <w:jc w:val="left"/>
        <w:rPr>
          <w:rFonts w:ascii="仿宋" w:hAnsi="仿宋" w:eastAsia="仿宋" w:cs="仿宋"/>
          <w:sz w:val="30"/>
          <w:szCs w:val="30"/>
        </w:rPr>
      </w:pPr>
      <w:r>
        <w:rPr>
          <w:rFonts w:ascii="仿宋" w:hAnsi="仿宋" w:eastAsia="仿宋" w:cs="仿宋"/>
          <w:sz w:val="30"/>
          <w:szCs w:val="30"/>
        </w:rPr>
        <w:t>1.一般公共服务（类）支出20,000.00元</w:t>
      </w:r>
      <w:r>
        <w:rPr>
          <w:rFonts w:hint="eastAsia" w:ascii="仿宋" w:hAnsi="仿宋" w:eastAsia="仿宋" w:cs="仿宋"/>
          <w:sz w:val="30"/>
          <w:szCs w:val="30"/>
        </w:rPr>
        <w:t>。</w:t>
      </w:r>
      <w:r>
        <w:rPr>
          <w:rFonts w:ascii="仿宋" w:hAnsi="仿宋" w:eastAsia="仿宋" w:cs="仿宋"/>
          <w:sz w:val="30"/>
          <w:szCs w:val="30"/>
        </w:rPr>
        <w:t>主要用于</w:t>
      </w:r>
      <w:r>
        <w:rPr>
          <w:rFonts w:hint="eastAsia" w:ascii="仿宋" w:hAnsi="仿宋" w:eastAsia="仿宋" w:cs="仿宋"/>
          <w:sz w:val="30"/>
          <w:szCs w:val="30"/>
        </w:rPr>
        <w:t>专业技术人才专项培养奖励和管理等方面的支出</w:t>
      </w:r>
      <w:r>
        <w:rPr>
          <w:rFonts w:ascii="仿宋" w:hAnsi="仿宋" w:eastAsia="仿宋" w:cs="仿宋"/>
          <w:sz w:val="30"/>
          <w:szCs w:val="30"/>
        </w:rPr>
        <w:t>；</w:t>
      </w:r>
    </w:p>
    <w:p w14:paraId="51928C5E">
      <w:pPr>
        <w:pStyle w:val="9"/>
        <w:spacing w:line="590" w:lineRule="atLeast"/>
        <w:ind w:firstLine="600"/>
        <w:jc w:val="left"/>
        <w:rPr>
          <w:rFonts w:ascii="仿宋" w:hAnsi="仿宋" w:eastAsia="仿宋" w:cs="仿宋"/>
          <w:sz w:val="30"/>
          <w:szCs w:val="30"/>
        </w:rPr>
      </w:pPr>
      <w:r>
        <w:rPr>
          <w:rFonts w:hint="eastAsia" w:ascii="仿宋" w:hAnsi="仿宋" w:eastAsia="仿宋" w:cs="仿宋"/>
          <w:sz w:val="30"/>
          <w:szCs w:val="30"/>
        </w:rPr>
        <w:t>2</w:t>
      </w:r>
      <w:r>
        <w:rPr>
          <w:rFonts w:ascii="仿宋" w:hAnsi="仿宋" w:eastAsia="仿宋" w:cs="仿宋"/>
          <w:sz w:val="30"/>
          <w:szCs w:val="30"/>
        </w:rPr>
        <w:t>.科学技术（类）支出1,749,957.44元。主要用于</w:t>
      </w:r>
      <w:r>
        <w:rPr>
          <w:rFonts w:hint="eastAsia" w:ascii="仿宋" w:hAnsi="仿宋" w:eastAsia="仿宋" w:cs="仿宋"/>
          <w:sz w:val="30"/>
          <w:szCs w:val="30"/>
        </w:rPr>
        <w:t>本部门卫生健康行业基础研究计划、重大科技专项、高层次人才培养引进、科技入滇专项等方面项目支出</w:t>
      </w:r>
      <w:r>
        <w:rPr>
          <w:rFonts w:ascii="仿宋" w:hAnsi="仿宋" w:eastAsia="仿宋" w:cs="仿宋"/>
          <w:sz w:val="30"/>
          <w:szCs w:val="30"/>
        </w:rPr>
        <w:t>；</w:t>
      </w:r>
    </w:p>
    <w:p w14:paraId="0981DE2A">
      <w:pPr>
        <w:pStyle w:val="9"/>
        <w:spacing w:line="590" w:lineRule="atLeast"/>
        <w:ind w:firstLine="600"/>
        <w:jc w:val="left"/>
        <w:rPr>
          <w:rFonts w:ascii="仿宋" w:hAnsi="仿宋" w:eastAsia="仿宋" w:cs="仿宋"/>
          <w:sz w:val="30"/>
          <w:szCs w:val="30"/>
        </w:rPr>
      </w:pPr>
      <w:r>
        <w:rPr>
          <w:rFonts w:hint="eastAsia" w:ascii="仿宋" w:hAnsi="仿宋" w:eastAsia="仿宋" w:cs="仿宋"/>
          <w:sz w:val="30"/>
          <w:szCs w:val="30"/>
        </w:rPr>
        <w:t>3</w:t>
      </w:r>
      <w:r>
        <w:rPr>
          <w:rFonts w:ascii="仿宋" w:hAnsi="仿宋" w:eastAsia="仿宋" w:cs="仿宋"/>
          <w:sz w:val="30"/>
          <w:szCs w:val="30"/>
        </w:rPr>
        <w:t>.社会保障和就业（类）支出1,599,413.11元。主要用于</w:t>
      </w:r>
      <w:r>
        <w:rPr>
          <w:rFonts w:hint="eastAsia" w:ascii="仿宋" w:hAnsi="仿宋" w:eastAsia="仿宋" w:cs="仿宋"/>
          <w:sz w:val="30"/>
          <w:szCs w:val="30"/>
        </w:rPr>
        <w:t>本部门行政事业单位离退休、机关事业单位基本养老保险、职业年金、抚恤金等方面的支出</w:t>
      </w:r>
      <w:r>
        <w:rPr>
          <w:rFonts w:ascii="仿宋" w:hAnsi="仿宋" w:eastAsia="仿宋" w:cs="仿宋"/>
          <w:sz w:val="30"/>
          <w:szCs w:val="30"/>
        </w:rPr>
        <w:t>；</w:t>
      </w:r>
    </w:p>
    <w:p w14:paraId="1ECB315D">
      <w:pPr>
        <w:pStyle w:val="9"/>
        <w:spacing w:line="590" w:lineRule="atLeast"/>
        <w:ind w:firstLine="600"/>
        <w:jc w:val="left"/>
        <w:rPr>
          <w:rFonts w:ascii="仿宋" w:hAnsi="仿宋" w:eastAsia="仿宋" w:cs="仿宋"/>
          <w:sz w:val="30"/>
          <w:szCs w:val="30"/>
        </w:rPr>
      </w:pPr>
      <w:r>
        <w:rPr>
          <w:rFonts w:hint="eastAsia" w:ascii="仿宋" w:hAnsi="仿宋" w:eastAsia="仿宋" w:cs="仿宋"/>
          <w:sz w:val="30"/>
          <w:szCs w:val="30"/>
        </w:rPr>
        <w:t>4</w:t>
      </w:r>
      <w:r>
        <w:rPr>
          <w:rFonts w:ascii="仿宋" w:hAnsi="仿宋" w:eastAsia="仿宋" w:cs="仿宋"/>
          <w:sz w:val="30"/>
          <w:szCs w:val="30"/>
        </w:rPr>
        <w:t>.卫生健康（类）支出25,690,933.76元。主要用于</w:t>
      </w:r>
      <w:r>
        <w:rPr>
          <w:rFonts w:hint="eastAsia" w:ascii="仿宋" w:hAnsi="仿宋" w:eastAsia="仿宋" w:cs="仿宋"/>
          <w:sz w:val="30"/>
          <w:szCs w:val="30"/>
        </w:rPr>
        <w:t>保障本部门正常运转和公共卫生等方面的项目支出</w:t>
      </w:r>
      <w:r>
        <w:rPr>
          <w:rFonts w:ascii="仿宋" w:hAnsi="仿宋" w:eastAsia="仿宋" w:cs="仿宋"/>
          <w:sz w:val="30"/>
          <w:szCs w:val="30"/>
        </w:rPr>
        <w:t>；</w:t>
      </w:r>
    </w:p>
    <w:p w14:paraId="0ACA57B2">
      <w:pPr>
        <w:pStyle w:val="9"/>
        <w:spacing w:line="590" w:lineRule="atLeast"/>
        <w:ind w:firstLine="600"/>
        <w:jc w:val="left"/>
        <w:rPr>
          <w:rFonts w:ascii="仿宋" w:hAnsi="仿宋" w:eastAsia="仿宋" w:cs="仿宋"/>
          <w:sz w:val="30"/>
          <w:szCs w:val="30"/>
        </w:rPr>
      </w:pPr>
      <w:r>
        <w:rPr>
          <w:rFonts w:hint="eastAsia" w:ascii="仿宋" w:hAnsi="仿宋" w:eastAsia="仿宋" w:cs="仿宋"/>
          <w:sz w:val="30"/>
          <w:szCs w:val="30"/>
        </w:rPr>
        <w:t>5</w:t>
      </w:r>
      <w:r>
        <w:rPr>
          <w:rFonts w:ascii="仿宋" w:hAnsi="仿宋" w:eastAsia="仿宋" w:cs="仿宋"/>
          <w:sz w:val="30"/>
          <w:szCs w:val="30"/>
        </w:rPr>
        <w:t>.商业服务业等（类）支出305,549.54元。主要用于</w:t>
      </w:r>
      <w:r>
        <w:rPr>
          <w:rFonts w:hint="eastAsia" w:ascii="仿宋" w:hAnsi="仿宋" w:eastAsia="仿宋" w:cs="仿宋"/>
          <w:sz w:val="30"/>
          <w:szCs w:val="30"/>
        </w:rPr>
        <w:t>本部门对外援助等方面的支出</w:t>
      </w:r>
      <w:r>
        <w:rPr>
          <w:rFonts w:ascii="仿宋" w:hAnsi="仿宋" w:eastAsia="仿宋" w:cs="仿宋"/>
          <w:sz w:val="30"/>
          <w:szCs w:val="30"/>
        </w:rPr>
        <w:t>；</w:t>
      </w:r>
    </w:p>
    <w:p w14:paraId="0E6B137A">
      <w:pPr>
        <w:pStyle w:val="9"/>
        <w:spacing w:line="590" w:lineRule="atLeast"/>
        <w:ind w:firstLine="600"/>
        <w:jc w:val="left"/>
        <w:rPr>
          <w:rFonts w:ascii="仿宋" w:hAnsi="仿宋" w:eastAsia="仿宋" w:cs="仿宋"/>
          <w:sz w:val="30"/>
          <w:szCs w:val="30"/>
        </w:rPr>
      </w:pPr>
      <w:r>
        <w:rPr>
          <w:rFonts w:hint="eastAsia" w:ascii="仿宋" w:hAnsi="仿宋" w:eastAsia="仿宋" w:cs="仿宋"/>
          <w:sz w:val="30"/>
          <w:szCs w:val="30"/>
        </w:rPr>
        <w:t>6</w:t>
      </w:r>
      <w:r>
        <w:rPr>
          <w:rFonts w:ascii="仿宋" w:hAnsi="仿宋" w:eastAsia="仿宋" w:cs="仿宋"/>
          <w:sz w:val="30"/>
          <w:szCs w:val="30"/>
        </w:rPr>
        <w:t>.住房保障（类）支出889,600.00元。主要用于</w:t>
      </w:r>
      <w:r>
        <w:rPr>
          <w:rFonts w:hint="eastAsia" w:ascii="仿宋" w:hAnsi="仿宋" w:eastAsia="仿宋" w:cs="仿宋"/>
          <w:sz w:val="30"/>
          <w:szCs w:val="30"/>
        </w:rPr>
        <w:t>本部门职工住房公积金缴费支出。</w:t>
      </w:r>
    </w:p>
    <w:p w14:paraId="57146594">
      <w:pPr>
        <w:pStyle w:val="9"/>
        <w:spacing w:line="590" w:lineRule="atLeast"/>
        <w:ind w:firstLine="600"/>
        <w:jc w:val="left"/>
      </w:pPr>
      <w:r>
        <w:rPr>
          <w:rFonts w:ascii="黑体" w:hAnsi="黑体" w:eastAsia="黑体" w:cs="黑体"/>
          <w:sz w:val="30"/>
          <w:szCs w:val="30"/>
        </w:rPr>
        <w:t>四、一般公共预算财政拨款</w:t>
      </w:r>
      <w:r>
        <w:rPr>
          <w:rFonts w:ascii="Times New Roman" w:hAnsi="Times New Roman" w:eastAsia="Times New Roman" w:cs="Times New Roman"/>
          <w:sz w:val="30"/>
          <w:szCs w:val="30"/>
        </w:rPr>
        <w:t>“</w:t>
      </w:r>
      <w:r>
        <w:rPr>
          <w:rFonts w:ascii="黑体" w:hAnsi="黑体" w:eastAsia="黑体" w:cs="黑体"/>
          <w:sz w:val="30"/>
          <w:szCs w:val="30"/>
        </w:rPr>
        <w:t>三公</w:t>
      </w:r>
      <w:r>
        <w:rPr>
          <w:rFonts w:ascii="Times New Roman" w:hAnsi="Times New Roman" w:eastAsia="Times New Roman" w:cs="Times New Roman"/>
          <w:sz w:val="30"/>
          <w:szCs w:val="30"/>
        </w:rPr>
        <w:t>”</w:t>
      </w:r>
      <w:r>
        <w:rPr>
          <w:rFonts w:ascii="黑体" w:hAnsi="黑体" w:eastAsia="黑体" w:cs="黑体"/>
          <w:sz w:val="30"/>
          <w:szCs w:val="30"/>
        </w:rPr>
        <w:t>经费支出决算情况说明</w:t>
      </w:r>
    </w:p>
    <w:p w14:paraId="186C5A4C">
      <w:pPr>
        <w:pStyle w:val="9"/>
        <w:spacing w:line="590" w:lineRule="atLeast"/>
        <w:ind w:firstLine="600"/>
        <w:jc w:val="left"/>
      </w:pPr>
      <w:r>
        <w:rPr>
          <w:rFonts w:ascii="楷体" w:hAnsi="楷体" w:eastAsia="楷体" w:cs="楷体"/>
          <w:sz w:val="30"/>
          <w:szCs w:val="30"/>
        </w:rPr>
        <w:t>(一)一般公共预算财政拨款</w:t>
      </w:r>
      <w:r>
        <w:rPr>
          <w:rFonts w:ascii="Times New Roman" w:hAnsi="Times New Roman" w:eastAsia="Times New Roman" w:cs="Times New Roman"/>
          <w:sz w:val="30"/>
          <w:szCs w:val="30"/>
        </w:rPr>
        <w:t>“</w:t>
      </w:r>
      <w:r>
        <w:rPr>
          <w:rFonts w:ascii="楷体" w:hAnsi="楷体" w:eastAsia="楷体" w:cs="楷体"/>
          <w:sz w:val="30"/>
          <w:szCs w:val="30"/>
        </w:rPr>
        <w:t>三公</w:t>
      </w:r>
      <w:r>
        <w:rPr>
          <w:rFonts w:ascii="Times New Roman" w:hAnsi="Times New Roman" w:eastAsia="Times New Roman" w:cs="Times New Roman"/>
          <w:sz w:val="30"/>
          <w:szCs w:val="30"/>
        </w:rPr>
        <w:t>”</w:t>
      </w:r>
      <w:r>
        <w:rPr>
          <w:rFonts w:ascii="楷体" w:hAnsi="楷体" w:eastAsia="楷体" w:cs="楷体"/>
          <w:sz w:val="30"/>
          <w:szCs w:val="30"/>
        </w:rPr>
        <w:t>经费支出决算总体情况</w:t>
      </w:r>
    </w:p>
    <w:p w14:paraId="1404DF38">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云南省寄生虫病防治所</w:t>
      </w:r>
      <w:r>
        <w:rPr>
          <w:rFonts w:ascii="仿宋" w:hAnsi="仿宋" w:eastAsia="仿宋" w:cs="仿宋"/>
          <w:sz w:val="30"/>
          <w:szCs w:val="30"/>
        </w:rPr>
        <w:t>2019年度一般公共预算财政拨款“三公”经费支出预算为346,400.00元，支出决算为315,439.82元，完成预算的</w:t>
      </w:r>
      <w:r>
        <w:rPr>
          <w:rFonts w:hint="eastAsia" w:ascii="仿宋" w:hAnsi="仿宋" w:eastAsia="仿宋" w:cs="仿宋"/>
          <w:sz w:val="30"/>
          <w:szCs w:val="30"/>
        </w:rPr>
        <w:t>91.06</w:t>
      </w:r>
      <w:r>
        <w:rPr>
          <w:rFonts w:ascii="仿宋" w:hAnsi="仿宋" w:eastAsia="仿宋" w:cs="仿宋"/>
          <w:sz w:val="30"/>
          <w:szCs w:val="30"/>
        </w:rPr>
        <w:t>%。其中：因公出国（境）费支出决算为8,344.00元；公务用车购置及运行费支出决算为303,645.82元；公务接待费支出决算为3,450.00元。2019年度一般公共预算财政拨款“三公”经费支出决算数小于预算数的主要原因</w:t>
      </w:r>
      <w:r>
        <w:rPr>
          <w:rFonts w:hint="eastAsia" w:ascii="仿宋" w:hAnsi="仿宋" w:eastAsia="仿宋" w:cs="仿宋"/>
          <w:sz w:val="30"/>
          <w:szCs w:val="30"/>
        </w:rPr>
        <w:t>是：1.根据厉行节约原则，根据厉行节约原则，严格控制因公出国（境）人数，故费用减少相应支出减少；2.严格控制公务用车的使用，运行维护费减少；3.严格控制公务接待费增长，有关费用近年来持续压减。</w:t>
      </w:r>
    </w:p>
    <w:p w14:paraId="43ED3B2B">
      <w:pPr>
        <w:pStyle w:val="9"/>
        <w:spacing w:line="590" w:lineRule="atLeast"/>
        <w:ind w:firstLine="600"/>
        <w:rPr>
          <w:rFonts w:ascii="仿宋" w:hAnsi="仿宋" w:eastAsia="仿宋" w:cs="仿宋"/>
          <w:sz w:val="30"/>
          <w:szCs w:val="30"/>
        </w:rPr>
      </w:pPr>
      <w:r>
        <w:rPr>
          <w:rFonts w:ascii="仿宋" w:hAnsi="仿宋" w:eastAsia="仿宋" w:cs="仿宋"/>
          <w:sz w:val="30"/>
          <w:szCs w:val="30"/>
        </w:rPr>
        <w:t>2019年度一般公共预算财政拨款“三公”经费支出决算数比2018年减少</w:t>
      </w:r>
      <w:r>
        <w:rPr>
          <w:rFonts w:hint="eastAsia" w:ascii="仿宋" w:hAnsi="仿宋" w:eastAsia="仿宋" w:cs="仿宋"/>
          <w:sz w:val="30"/>
          <w:szCs w:val="30"/>
        </w:rPr>
        <w:t>减少了8104.43元</w:t>
      </w:r>
      <w:r>
        <w:rPr>
          <w:rFonts w:ascii="仿宋" w:hAnsi="仿宋" w:eastAsia="仿宋" w:cs="仿宋"/>
          <w:sz w:val="30"/>
          <w:szCs w:val="30"/>
        </w:rPr>
        <w:t>，下降</w:t>
      </w:r>
      <w:r>
        <w:rPr>
          <w:rFonts w:hint="eastAsia" w:ascii="仿宋" w:hAnsi="仿宋" w:eastAsia="仿宋" w:cs="仿宋"/>
          <w:sz w:val="30"/>
          <w:szCs w:val="30"/>
        </w:rPr>
        <w:t>2.50</w:t>
      </w:r>
      <w:r>
        <w:rPr>
          <w:rFonts w:ascii="仿宋" w:hAnsi="仿宋" w:eastAsia="仿宋" w:cs="仿宋"/>
          <w:sz w:val="30"/>
          <w:szCs w:val="30"/>
        </w:rPr>
        <w:t>%。其中：因公出国（境）费支出决算减少</w:t>
      </w:r>
      <w:r>
        <w:rPr>
          <w:rFonts w:hint="eastAsia" w:ascii="仿宋" w:hAnsi="仿宋" w:eastAsia="仿宋" w:cs="仿宋"/>
          <w:sz w:val="30"/>
          <w:szCs w:val="30"/>
        </w:rPr>
        <w:t>2451.58</w:t>
      </w:r>
      <w:r>
        <w:rPr>
          <w:rFonts w:ascii="仿宋" w:hAnsi="仿宋" w:eastAsia="仿宋" w:cs="仿宋"/>
          <w:sz w:val="30"/>
          <w:szCs w:val="30"/>
        </w:rPr>
        <w:t>元，下降</w:t>
      </w:r>
      <w:r>
        <w:rPr>
          <w:rFonts w:hint="eastAsia" w:ascii="仿宋" w:hAnsi="仿宋" w:eastAsia="仿宋" w:cs="仿宋"/>
          <w:sz w:val="30"/>
          <w:szCs w:val="30"/>
        </w:rPr>
        <w:t>22.71</w:t>
      </w:r>
      <w:r>
        <w:rPr>
          <w:rFonts w:ascii="仿宋" w:hAnsi="仿宋" w:eastAsia="仿宋" w:cs="仿宋"/>
          <w:sz w:val="30"/>
          <w:szCs w:val="30"/>
        </w:rPr>
        <w:t>%；公务用车购置及运行费支出决算</w:t>
      </w:r>
      <w:r>
        <w:rPr>
          <w:rFonts w:hint="eastAsia" w:ascii="仿宋" w:hAnsi="仿宋" w:eastAsia="仿宋" w:cs="仿宋"/>
          <w:sz w:val="30"/>
          <w:szCs w:val="30"/>
        </w:rPr>
        <w:t>增加4745.15</w:t>
      </w:r>
      <w:r>
        <w:rPr>
          <w:rFonts w:ascii="仿宋" w:hAnsi="仿宋" w:eastAsia="仿宋" w:cs="仿宋"/>
          <w:sz w:val="30"/>
          <w:szCs w:val="30"/>
        </w:rPr>
        <w:t>元，</w:t>
      </w:r>
      <w:r>
        <w:rPr>
          <w:rFonts w:hint="eastAsia" w:ascii="仿宋" w:hAnsi="仿宋" w:eastAsia="仿宋" w:cs="仿宋"/>
          <w:sz w:val="30"/>
          <w:szCs w:val="30"/>
        </w:rPr>
        <w:t>增加1.59</w:t>
      </w:r>
      <w:r>
        <w:rPr>
          <w:rFonts w:ascii="仿宋" w:hAnsi="仿宋" w:eastAsia="仿宋" w:cs="仿宋"/>
          <w:sz w:val="30"/>
          <w:szCs w:val="30"/>
        </w:rPr>
        <w:t>%；公务接待费支出决算减少</w:t>
      </w:r>
      <w:r>
        <w:rPr>
          <w:rFonts w:hint="eastAsia" w:ascii="仿宋" w:hAnsi="仿宋" w:eastAsia="仿宋" w:cs="仿宋"/>
          <w:sz w:val="30"/>
          <w:szCs w:val="30"/>
        </w:rPr>
        <w:t>10398.00</w:t>
      </w:r>
      <w:r>
        <w:rPr>
          <w:rFonts w:ascii="仿宋" w:hAnsi="仿宋" w:eastAsia="仿宋" w:cs="仿宋"/>
          <w:sz w:val="30"/>
          <w:szCs w:val="30"/>
        </w:rPr>
        <w:t>元，下降</w:t>
      </w:r>
      <w:r>
        <w:rPr>
          <w:rFonts w:hint="eastAsia" w:ascii="仿宋" w:hAnsi="仿宋" w:eastAsia="仿宋" w:cs="仿宋"/>
          <w:sz w:val="30"/>
          <w:szCs w:val="30"/>
        </w:rPr>
        <w:t>75.09</w:t>
      </w:r>
      <w:r>
        <w:rPr>
          <w:rFonts w:ascii="仿宋" w:hAnsi="仿宋" w:eastAsia="仿宋" w:cs="仿宋"/>
          <w:sz w:val="30"/>
          <w:szCs w:val="30"/>
        </w:rPr>
        <w:t>%。2019年度一般公共预算财政拨款“三公”经费支出决算减少的主要原因</w:t>
      </w:r>
      <w:r>
        <w:rPr>
          <w:rFonts w:hint="eastAsia" w:ascii="仿宋" w:hAnsi="仿宋" w:eastAsia="仿宋" w:cs="仿宋"/>
          <w:sz w:val="30"/>
          <w:szCs w:val="30"/>
        </w:rPr>
        <w:t>：1. 根据厉行节约原则，根据厉行节约原则，严格控制因公出国（境）人数，故费用减少相应支出减少； 2.严格控制公务接待费增长，有关费用近年来持续压减。</w:t>
      </w:r>
    </w:p>
    <w:p w14:paraId="2D0B08BF">
      <w:pPr>
        <w:pStyle w:val="9"/>
        <w:spacing w:line="590" w:lineRule="atLeast"/>
        <w:ind w:firstLine="600"/>
        <w:jc w:val="left"/>
      </w:pPr>
      <w:r>
        <w:rPr>
          <w:rFonts w:ascii="楷体" w:hAnsi="楷体" w:eastAsia="楷体" w:cs="楷体"/>
          <w:sz w:val="30"/>
          <w:szCs w:val="30"/>
        </w:rPr>
        <w:t>(二)一般公共预算财政拨款</w:t>
      </w:r>
      <w:r>
        <w:rPr>
          <w:rFonts w:ascii="Times New Roman" w:hAnsi="Times New Roman" w:eastAsia="Times New Roman" w:cs="Times New Roman"/>
          <w:sz w:val="30"/>
          <w:szCs w:val="30"/>
        </w:rPr>
        <w:t>“</w:t>
      </w:r>
      <w:r>
        <w:rPr>
          <w:rFonts w:ascii="楷体" w:hAnsi="楷体" w:eastAsia="楷体" w:cs="楷体"/>
          <w:sz w:val="30"/>
          <w:szCs w:val="30"/>
        </w:rPr>
        <w:t>三公</w:t>
      </w:r>
      <w:r>
        <w:rPr>
          <w:rFonts w:ascii="Times New Roman" w:hAnsi="Times New Roman" w:eastAsia="Times New Roman" w:cs="Times New Roman"/>
          <w:sz w:val="30"/>
          <w:szCs w:val="30"/>
        </w:rPr>
        <w:t>”</w:t>
      </w:r>
      <w:r>
        <w:rPr>
          <w:rFonts w:ascii="楷体" w:hAnsi="楷体" w:eastAsia="楷体" w:cs="楷体"/>
          <w:sz w:val="30"/>
          <w:szCs w:val="30"/>
        </w:rPr>
        <w:t>经费支出决算具体情况</w:t>
      </w:r>
    </w:p>
    <w:p w14:paraId="7B36392E">
      <w:pPr>
        <w:pStyle w:val="9"/>
        <w:spacing w:line="590" w:lineRule="atLeast"/>
        <w:ind w:firstLine="600"/>
        <w:jc w:val="left"/>
      </w:pPr>
      <w:r>
        <w:rPr>
          <w:rFonts w:ascii="仿宋" w:hAnsi="仿宋" w:eastAsia="仿宋" w:cs="仿宋"/>
          <w:sz w:val="30"/>
          <w:szCs w:val="30"/>
        </w:rPr>
        <w:t>2019年度一般公共预算财政拨款</w:t>
      </w:r>
      <w:r>
        <w:rPr>
          <w:rFonts w:ascii="Times New Roman" w:hAnsi="Times New Roman" w:eastAsia="Times New Roman" w:cs="Times New Roman"/>
          <w:sz w:val="30"/>
          <w:szCs w:val="30"/>
        </w:rPr>
        <w:t>“</w:t>
      </w:r>
      <w:r>
        <w:rPr>
          <w:rFonts w:ascii="仿宋" w:hAnsi="仿宋" w:eastAsia="仿宋" w:cs="仿宋"/>
          <w:sz w:val="30"/>
          <w:szCs w:val="30"/>
        </w:rPr>
        <w:t>三公</w:t>
      </w:r>
      <w:r>
        <w:rPr>
          <w:rFonts w:ascii="Times New Roman" w:hAnsi="Times New Roman" w:eastAsia="Times New Roman" w:cs="Times New Roman"/>
          <w:sz w:val="30"/>
          <w:szCs w:val="30"/>
        </w:rPr>
        <w:t>”</w:t>
      </w:r>
      <w:r>
        <w:rPr>
          <w:rFonts w:ascii="仿宋" w:hAnsi="仿宋" w:eastAsia="仿宋" w:cs="仿宋"/>
          <w:sz w:val="30"/>
          <w:szCs w:val="30"/>
        </w:rPr>
        <w:t>经费支出决算中，因公出国（境）费支出8,344.00元，占</w:t>
      </w:r>
      <w:r>
        <w:rPr>
          <w:rFonts w:hint="eastAsia" w:ascii="仿宋" w:hAnsi="仿宋" w:eastAsia="仿宋" w:cs="仿宋"/>
          <w:sz w:val="30"/>
          <w:szCs w:val="30"/>
        </w:rPr>
        <w:t>2.65</w:t>
      </w:r>
      <w:r>
        <w:rPr>
          <w:rFonts w:ascii="仿宋" w:hAnsi="仿宋" w:eastAsia="仿宋" w:cs="仿宋"/>
          <w:sz w:val="30"/>
          <w:szCs w:val="30"/>
        </w:rPr>
        <w:t>%；公务用车购置及运行维护费支出303,645.82元，占</w:t>
      </w:r>
      <w:r>
        <w:rPr>
          <w:rFonts w:hint="eastAsia" w:ascii="仿宋" w:hAnsi="仿宋" w:eastAsia="仿宋" w:cs="仿宋"/>
          <w:sz w:val="30"/>
          <w:szCs w:val="30"/>
        </w:rPr>
        <w:t>96.26</w:t>
      </w:r>
      <w:r>
        <w:rPr>
          <w:rFonts w:ascii="仿宋" w:hAnsi="仿宋" w:eastAsia="仿宋" w:cs="仿宋"/>
          <w:sz w:val="30"/>
          <w:szCs w:val="30"/>
        </w:rPr>
        <w:t>%；公务接待费支出3,450.00元，占</w:t>
      </w:r>
      <w:r>
        <w:rPr>
          <w:rFonts w:hint="eastAsia" w:ascii="仿宋" w:hAnsi="仿宋" w:eastAsia="仿宋" w:cs="仿宋"/>
          <w:sz w:val="30"/>
          <w:szCs w:val="30"/>
        </w:rPr>
        <w:t>1.09</w:t>
      </w:r>
      <w:r>
        <w:rPr>
          <w:rFonts w:ascii="仿宋" w:hAnsi="仿宋" w:eastAsia="仿宋" w:cs="仿宋"/>
          <w:sz w:val="30"/>
          <w:szCs w:val="30"/>
        </w:rPr>
        <w:t>%。具体情况如下：</w:t>
      </w:r>
    </w:p>
    <w:p w14:paraId="723DA1E8">
      <w:pPr>
        <w:pStyle w:val="9"/>
        <w:spacing w:line="590" w:lineRule="atLeast"/>
        <w:ind w:firstLine="602"/>
        <w:rPr>
          <w:rFonts w:ascii="仿宋" w:hAnsi="仿宋" w:eastAsia="仿宋" w:cs="仿宋"/>
          <w:sz w:val="30"/>
          <w:szCs w:val="30"/>
        </w:rPr>
      </w:pPr>
      <w:r>
        <w:rPr>
          <w:rFonts w:ascii="仿宋" w:hAnsi="仿宋" w:eastAsia="仿宋" w:cs="仿宋"/>
          <w:b/>
          <w:bCs/>
          <w:sz w:val="30"/>
          <w:szCs w:val="30"/>
        </w:rPr>
        <w:t>1.因公出国（境）费</w:t>
      </w:r>
      <w:r>
        <w:rPr>
          <w:rFonts w:ascii="仿宋" w:hAnsi="仿宋" w:eastAsia="仿宋" w:cs="仿宋"/>
          <w:sz w:val="30"/>
          <w:szCs w:val="30"/>
        </w:rPr>
        <w:t>支出8,344.00元，</w:t>
      </w:r>
      <w:r>
        <w:rPr>
          <w:rFonts w:hint="eastAsia" w:ascii="仿宋" w:hAnsi="仿宋" w:eastAsia="仿宋" w:cs="仿宋"/>
          <w:sz w:val="30"/>
          <w:szCs w:val="30"/>
        </w:rPr>
        <w:t>为受邀赴瑞士签证费，境外费用由邀请方承担，签证费由科技厅经费支出</w:t>
      </w:r>
      <w:r>
        <w:rPr>
          <w:rFonts w:ascii="仿宋" w:hAnsi="仿宋" w:eastAsia="仿宋" w:cs="仿宋"/>
          <w:sz w:val="30"/>
          <w:szCs w:val="30"/>
        </w:rPr>
        <w:t>。</w:t>
      </w:r>
    </w:p>
    <w:p w14:paraId="0E9DD348">
      <w:pPr>
        <w:pStyle w:val="9"/>
        <w:spacing w:line="590" w:lineRule="atLeast"/>
        <w:ind w:firstLine="602"/>
        <w:jc w:val="left"/>
      </w:pPr>
      <w:r>
        <w:rPr>
          <w:rFonts w:ascii="仿宋" w:hAnsi="仿宋" w:eastAsia="仿宋" w:cs="仿宋"/>
          <w:b/>
          <w:bCs/>
          <w:sz w:val="30"/>
          <w:szCs w:val="30"/>
        </w:rPr>
        <w:t>2.公务用车购置及运行维护费</w:t>
      </w:r>
      <w:r>
        <w:rPr>
          <w:rFonts w:ascii="仿宋" w:hAnsi="仿宋" w:eastAsia="仿宋" w:cs="仿宋"/>
          <w:sz w:val="30"/>
          <w:szCs w:val="30"/>
        </w:rPr>
        <w:t>支出303,645.82元。其中：</w:t>
      </w:r>
    </w:p>
    <w:p w14:paraId="3AC91CE0">
      <w:pPr>
        <w:pStyle w:val="9"/>
        <w:spacing w:line="590" w:lineRule="atLeast"/>
        <w:ind w:firstLine="602"/>
      </w:pPr>
      <w:r>
        <w:rPr>
          <w:rFonts w:ascii="仿宋" w:hAnsi="仿宋" w:eastAsia="仿宋" w:cs="仿宋"/>
          <w:b/>
          <w:bCs/>
          <w:sz w:val="30"/>
          <w:szCs w:val="30"/>
        </w:rPr>
        <w:t>公务用车购置</w:t>
      </w:r>
      <w:r>
        <w:rPr>
          <w:rFonts w:ascii="仿宋" w:hAnsi="仿宋" w:eastAsia="仿宋" w:cs="仿宋"/>
          <w:sz w:val="30"/>
          <w:szCs w:val="30"/>
        </w:rPr>
        <w:t>支出0.00万元，购置车辆0辆。</w:t>
      </w:r>
    </w:p>
    <w:p w14:paraId="75E3DC87">
      <w:pPr>
        <w:pStyle w:val="9"/>
        <w:spacing w:line="590" w:lineRule="atLeast"/>
        <w:ind w:firstLine="602"/>
        <w:jc w:val="left"/>
      </w:pPr>
      <w:r>
        <w:rPr>
          <w:rFonts w:ascii="仿宋" w:hAnsi="仿宋" w:eastAsia="仿宋" w:cs="仿宋"/>
          <w:b/>
          <w:bCs/>
          <w:sz w:val="30"/>
          <w:szCs w:val="30"/>
        </w:rPr>
        <w:t>公务用车运行维护</w:t>
      </w:r>
      <w:r>
        <w:rPr>
          <w:rFonts w:ascii="仿宋" w:hAnsi="仿宋" w:eastAsia="仿宋" w:cs="仿宋"/>
          <w:sz w:val="30"/>
          <w:szCs w:val="30"/>
        </w:rPr>
        <w:t>支出303,645.82元，财政拨款的公务用车保有量为</w:t>
      </w:r>
      <w:r>
        <w:rPr>
          <w:rFonts w:hint="eastAsia" w:ascii="仿宋" w:hAnsi="仿宋" w:eastAsia="仿宋" w:cs="仿宋"/>
          <w:sz w:val="30"/>
          <w:szCs w:val="30"/>
        </w:rPr>
        <w:t>8</w:t>
      </w:r>
      <w:r>
        <w:rPr>
          <w:rFonts w:ascii="仿宋" w:hAnsi="仿宋" w:eastAsia="仿宋" w:cs="仿宋"/>
          <w:sz w:val="30"/>
          <w:szCs w:val="30"/>
        </w:rPr>
        <w:t>辆</w:t>
      </w:r>
      <w:r>
        <w:rPr>
          <w:rFonts w:hint="eastAsia" w:ascii="仿宋" w:hAnsi="仿宋" w:eastAsia="仿宋" w:cs="仿宋"/>
          <w:sz w:val="30"/>
          <w:szCs w:val="30"/>
        </w:rPr>
        <w:t>,非财政拨款的</w:t>
      </w:r>
      <w:r>
        <w:rPr>
          <w:rFonts w:ascii="仿宋" w:hAnsi="仿宋" w:eastAsia="仿宋" w:cs="仿宋"/>
          <w:sz w:val="30"/>
          <w:szCs w:val="30"/>
        </w:rPr>
        <w:t>公务用车保有量为</w:t>
      </w:r>
      <w:r>
        <w:rPr>
          <w:rFonts w:hint="eastAsia" w:ascii="仿宋" w:hAnsi="仿宋" w:eastAsia="仿宋" w:cs="仿宋"/>
          <w:sz w:val="30"/>
          <w:szCs w:val="30"/>
        </w:rPr>
        <w:t>2</w:t>
      </w:r>
      <w:r>
        <w:rPr>
          <w:rFonts w:ascii="仿宋" w:hAnsi="仿宋" w:eastAsia="仿宋" w:cs="仿宋"/>
          <w:sz w:val="30"/>
          <w:szCs w:val="30"/>
        </w:rPr>
        <w:t>辆。主要用于</w:t>
      </w:r>
      <w:r>
        <w:rPr>
          <w:rFonts w:hint="eastAsia" w:ascii="仿宋" w:hAnsi="仿宋" w:eastAsia="仿宋" w:cs="仿宋"/>
          <w:sz w:val="30"/>
          <w:szCs w:val="30"/>
        </w:rPr>
        <w:t>疾病预防控制及公务出行</w:t>
      </w:r>
      <w:r>
        <w:rPr>
          <w:rFonts w:ascii="仿宋" w:hAnsi="仿宋" w:eastAsia="仿宋" w:cs="仿宋"/>
          <w:sz w:val="30"/>
          <w:szCs w:val="30"/>
        </w:rPr>
        <w:t>所需车辆燃料费、维修费、过路过桥费、保险费等。</w:t>
      </w:r>
    </w:p>
    <w:p w14:paraId="41205732">
      <w:pPr>
        <w:pStyle w:val="9"/>
        <w:spacing w:line="590" w:lineRule="atLeast"/>
        <w:ind w:firstLine="602"/>
        <w:jc w:val="left"/>
      </w:pPr>
      <w:r>
        <w:rPr>
          <w:rFonts w:ascii="仿宋" w:hAnsi="仿宋" w:eastAsia="仿宋" w:cs="仿宋"/>
          <w:b/>
          <w:bCs/>
          <w:sz w:val="30"/>
          <w:szCs w:val="30"/>
        </w:rPr>
        <w:t>3.公务接待费</w:t>
      </w:r>
      <w:r>
        <w:rPr>
          <w:rFonts w:ascii="仿宋" w:hAnsi="仿宋" w:eastAsia="仿宋" w:cs="仿宋"/>
          <w:sz w:val="30"/>
          <w:szCs w:val="30"/>
        </w:rPr>
        <w:t>支出3,450.00元。其中：</w:t>
      </w:r>
    </w:p>
    <w:p w14:paraId="2D557AB0">
      <w:pPr>
        <w:pStyle w:val="9"/>
        <w:spacing w:line="590" w:lineRule="atLeast"/>
        <w:ind w:firstLine="602"/>
        <w:rPr>
          <w:rFonts w:ascii="仿宋" w:hAnsi="仿宋" w:eastAsia="仿宋" w:cs="仿宋"/>
          <w:sz w:val="30"/>
          <w:szCs w:val="30"/>
        </w:rPr>
      </w:pPr>
      <w:r>
        <w:rPr>
          <w:rFonts w:ascii="仿宋" w:hAnsi="仿宋" w:eastAsia="仿宋" w:cs="仿宋"/>
          <w:b/>
          <w:bCs/>
          <w:sz w:val="30"/>
          <w:szCs w:val="30"/>
        </w:rPr>
        <w:t>国内接待费</w:t>
      </w:r>
      <w:r>
        <w:rPr>
          <w:rFonts w:ascii="仿宋" w:hAnsi="仿宋" w:eastAsia="仿宋" w:cs="仿宋"/>
          <w:sz w:val="30"/>
          <w:szCs w:val="30"/>
        </w:rPr>
        <w:t>支出3,450.00元（其中：外事接待费支出0.00万元），共安排国内公务接待</w:t>
      </w:r>
      <w:r>
        <w:rPr>
          <w:rFonts w:hint="eastAsia" w:ascii="仿宋" w:hAnsi="仿宋" w:eastAsia="仿宋" w:cs="仿宋"/>
          <w:sz w:val="30"/>
          <w:szCs w:val="30"/>
        </w:rPr>
        <w:t>6</w:t>
      </w:r>
      <w:r>
        <w:rPr>
          <w:rFonts w:ascii="仿宋" w:hAnsi="仿宋" w:eastAsia="仿宋" w:cs="仿宋"/>
          <w:sz w:val="30"/>
          <w:szCs w:val="30"/>
        </w:rPr>
        <w:t>批次（其中：外事接待0批次），接待人次</w:t>
      </w:r>
      <w:r>
        <w:rPr>
          <w:rFonts w:hint="eastAsia" w:ascii="仿宋" w:hAnsi="仿宋" w:eastAsia="仿宋" w:cs="仿宋"/>
          <w:sz w:val="30"/>
          <w:szCs w:val="30"/>
        </w:rPr>
        <w:t>46</w:t>
      </w:r>
      <w:r>
        <w:rPr>
          <w:rFonts w:ascii="仿宋" w:hAnsi="仿宋" w:eastAsia="仿宋" w:cs="仿宋"/>
          <w:sz w:val="30"/>
          <w:szCs w:val="30"/>
        </w:rPr>
        <w:t>人（其中：外事接待人次0人）。</w:t>
      </w:r>
      <w:r>
        <w:rPr>
          <w:rFonts w:hint="eastAsia" w:ascii="仿宋" w:hAnsi="仿宋" w:eastAsia="仿宋" w:cs="仿宋"/>
          <w:sz w:val="30"/>
          <w:szCs w:val="30"/>
        </w:rPr>
        <w:t>主要用于有关州市、上级部门到我单位调研指导工作等方面发生的接待支出</w:t>
      </w:r>
      <w:r>
        <w:rPr>
          <w:rFonts w:ascii="仿宋" w:hAnsi="仿宋" w:eastAsia="仿宋" w:cs="仿宋"/>
          <w:sz w:val="30"/>
          <w:szCs w:val="30"/>
        </w:rPr>
        <w:t>。</w:t>
      </w:r>
    </w:p>
    <w:p w14:paraId="5AD9D9F2">
      <w:pPr>
        <w:pStyle w:val="9"/>
        <w:spacing w:line="590" w:lineRule="atLeast"/>
        <w:ind w:firstLine="602"/>
      </w:pPr>
      <w:r>
        <w:rPr>
          <w:rFonts w:ascii="仿宋" w:hAnsi="仿宋" w:eastAsia="仿宋" w:cs="仿宋"/>
          <w:b/>
          <w:bCs/>
          <w:sz w:val="30"/>
          <w:szCs w:val="30"/>
        </w:rPr>
        <w:t>国（境）外接待</w:t>
      </w:r>
      <w:r>
        <w:rPr>
          <w:rFonts w:hint="eastAsia" w:ascii="仿宋" w:hAnsi="仿宋" w:eastAsia="仿宋" w:cs="仿宋"/>
          <w:b/>
          <w:bCs/>
          <w:sz w:val="30"/>
          <w:szCs w:val="30"/>
        </w:rPr>
        <w:t>费支出0元，</w:t>
      </w:r>
      <w:r>
        <w:rPr>
          <w:rFonts w:hint="eastAsia" w:ascii="仿宋" w:hAnsi="仿宋" w:eastAsia="仿宋" w:cs="仿宋"/>
          <w:sz w:val="30"/>
          <w:szCs w:val="30"/>
        </w:rPr>
        <w:t>本年度无有关费用发生</w:t>
      </w:r>
      <w:r>
        <w:rPr>
          <w:rFonts w:ascii="仿宋" w:hAnsi="仿宋" w:eastAsia="仿宋" w:cs="仿宋"/>
          <w:sz w:val="30"/>
          <w:szCs w:val="30"/>
        </w:rPr>
        <w:t>。</w:t>
      </w:r>
    </w:p>
    <w:p w14:paraId="67B0323A">
      <w:pPr>
        <w:pStyle w:val="9"/>
        <w:spacing w:line="590" w:lineRule="atLeast"/>
        <w:ind w:firstLine="640"/>
        <w:jc w:val="center"/>
      </w:pPr>
      <w:r>
        <w:rPr>
          <w:rFonts w:ascii="黑体" w:hAnsi="黑体" w:eastAsia="黑体" w:cs="黑体"/>
          <w:sz w:val="32"/>
          <w:szCs w:val="32"/>
        </w:rPr>
        <w:t>第四部分</w:t>
      </w:r>
      <w:r>
        <w:rPr>
          <w:rFonts w:ascii="Calibri" w:hAnsi="Calibri" w:eastAsia="Calibri" w:cs="Calibri"/>
          <w:sz w:val="32"/>
          <w:szCs w:val="32"/>
        </w:rPr>
        <w:t>  </w:t>
      </w:r>
      <w:r>
        <w:rPr>
          <w:rFonts w:ascii="黑体" w:hAnsi="黑体" w:eastAsia="黑体" w:cs="黑体"/>
          <w:sz w:val="32"/>
          <w:szCs w:val="32"/>
        </w:rPr>
        <w:t>其他重要事项及相关口径情况说明</w:t>
      </w:r>
    </w:p>
    <w:p w14:paraId="504A1FD4">
      <w:pPr>
        <w:pStyle w:val="9"/>
        <w:spacing w:line="590" w:lineRule="atLeast"/>
        <w:ind w:firstLine="600"/>
        <w:jc w:val="left"/>
      </w:pPr>
      <w:r>
        <w:rPr>
          <w:rFonts w:ascii="黑体" w:hAnsi="黑体" w:eastAsia="黑体" w:cs="黑体"/>
          <w:sz w:val="30"/>
          <w:szCs w:val="30"/>
        </w:rPr>
        <w:t>一、机关运行经费支出情况</w:t>
      </w:r>
    </w:p>
    <w:p w14:paraId="110EB871">
      <w:pPr>
        <w:pStyle w:val="9"/>
        <w:spacing w:line="590" w:lineRule="atLeast"/>
        <w:ind w:firstLine="600"/>
      </w:pPr>
      <w:r>
        <w:rPr>
          <w:rFonts w:hint="eastAsia" w:ascii="仿宋" w:hAnsi="仿宋" w:eastAsia="仿宋" w:cs="仿宋"/>
          <w:sz w:val="30"/>
          <w:szCs w:val="30"/>
        </w:rPr>
        <w:t>云南省寄生虫病防治所2</w:t>
      </w:r>
      <w:r>
        <w:rPr>
          <w:rFonts w:ascii="仿宋" w:hAnsi="仿宋" w:eastAsia="仿宋" w:cs="仿宋"/>
          <w:sz w:val="30"/>
          <w:szCs w:val="30"/>
        </w:rPr>
        <w:t>019年机关运行经费</w:t>
      </w:r>
      <w:r>
        <w:rPr>
          <w:rFonts w:hint="eastAsia" w:ascii="仿宋" w:hAnsi="仿宋" w:eastAsia="仿宋" w:cs="仿宋"/>
          <w:sz w:val="30"/>
          <w:szCs w:val="30"/>
        </w:rPr>
        <w:t>支出</w:t>
      </w:r>
      <w:r>
        <w:rPr>
          <w:rFonts w:ascii="仿宋" w:hAnsi="仿宋" w:eastAsia="仿宋" w:cs="仿宋"/>
          <w:sz w:val="30"/>
          <w:szCs w:val="30"/>
        </w:rPr>
        <w:t>1,092,480.70元，</w:t>
      </w:r>
      <w:r>
        <w:rPr>
          <w:rFonts w:hint="eastAsia" w:ascii="仿宋" w:hAnsi="仿宋" w:eastAsia="仿宋" w:cs="仿宋"/>
          <w:sz w:val="30"/>
          <w:szCs w:val="30"/>
        </w:rPr>
        <w:t>较上年增加</w:t>
      </w:r>
      <w:r>
        <w:rPr>
          <w:rFonts w:ascii="仿宋" w:hAnsi="仿宋" w:eastAsia="仿宋" w:cs="仿宋"/>
          <w:sz w:val="30"/>
          <w:szCs w:val="30"/>
        </w:rPr>
        <w:t>298,480.70</w:t>
      </w:r>
      <w:r>
        <w:rPr>
          <w:rFonts w:hint="eastAsia" w:ascii="仿宋" w:hAnsi="仿宋" w:eastAsia="仿宋" w:cs="仿宋"/>
          <w:sz w:val="30"/>
          <w:szCs w:val="30"/>
        </w:rPr>
        <w:t>元，增长</w:t>
      </w:r>
      <w:r>
        <w:rPr>
          <w:rFonts w:ascii="仿宋" w:hAnsi="仿宋" w:eastAsia="仿宋" w:cs="仿宋"/>
          <w:sz w:val="30"/>
          <w:szCs w:val="30"/>
        </w:rPr>
        <w:t>37.59%,主要原因</w:t>
      </w:r>
      <w:r>
        <w:rPr>
          <w:rFonts w:hint="eastAsia" w:ascii="仿宋" w:hAnsi="仿宋" w:eastAsia="仿宋" w:cs="仿宋"/>
          <w:sz w:val="30"/>
          <w:szCs w:val="30"/>
        </w:rPr>
        <w:t>是人员增长，机关运行经费相应增长。部门机关运行经费主要保障单位基本运行所需的办公费、印刷费、水费、电费、邮电费、物管费、公务用车运行维护费等日常公用经费</w:t>
      </w:r>
      <w:r>
        <w:rPr>
          <w:rFonts w:ascii="仿宋" w:hAnsi="仿宋" w:eastAsia="仿宋" w:cs="仿宋"/>
          <w:sz w:val="30"/>
          <w:szCs w:val="30"/>
        </w:rPr>
        <w:t>。</w:t>
      </w:r>
    </w:p>
    <w:p w14:paraId="45560017">
      <w:pPr>
        <w:pStyle w:val="9"/>
        <w:spacing w:line="590" w:lineRule="atLeast"/>
        <w:ind w:firstLine="600"/>
        <w:jc w:val="left"/>
      </w:pPr>
      <w:r>
        <w:rPr>
          <w:rFonts w:ascii="黑体" w:hAnsi="黑体" w:eastAsia="黑体" w:cs="黑体"/>
          <w:sz w:val="30"/>
          <w:szCs w:val="30"/>
        </w:rPr>
        <w:t>二、国有资产占用情况</w:t>
      </w:r>
    </w:p>
    <w:p w14:paraId="00E39F09">
      <w:pPr>
        <w:pStyle w:val="9"/>
        <w:spacing w:line="590" w:lineRule="atLeast"/>
        <w:ind w:firstLine="600"/>
        <w:jc w:val="left"/>
        <w:rPr>
          <w:rFonts w:ascii="仿宋" w:hAnsi="仿宋" w:eastAsia="仿宋" w:cs="仿宋"/>
          <w:sz w:val="30"/>
          <w:szCs w:val="30"/>
        </w:rPr>
      </w:pPr>
      <w:r>
        <w:rPr>
          <w:rFonts w:ascii="仿宋" w:hAnsi="仿宋" w:eastAsia="仿宋" w:cs="仿宋"/>
          <w:sz w:val="30"/>
          <w:szCs w:val="30"/>
        </w:rPr>
        <w:t>截至2019年12月31日，</w:t>
      </w:r>
      <w:r>
        <w:rPr>
          <w:rFonts w:hint="eastAsia" w:ascii="仿宋" w:hAnsi="仿宋" w:eastAsia="仿宋" w:cs="仿宋"/>
          <w:sz w:val="30"/>
          <w:szCs w:val="30"/>
        </w:rPr>
        <w:t>云南省寄生虫病防治所</w:t>
      </w:r>
      <w:r>
        <w:rPr>
          <w:rFonts w:ascii="仿宋" w:hAnsi="仿宋" w:eastAsia="仿宋" w:cs="仿宋"/>
          <w:sz w:val="30"/>
          <w:szCs w:val="30"/>
        </w:rPr>
        <w:t>资产总额35,437,821.19元，其中，流动资产16,817,770.79元，固定资产18,597,756.82元</w:t>
      </w:r>
      <w:r>
        <w:rPr>
          <w:rFonts w:hint="eastAsia" w:ascii="仿宋" w:hAnsi="仿宋" w:eastAsia="仿宋" w:cs="仿宋"/>
          <w:sz w:val="30"/>
          <w:szCs w:val="30"/>
        </w:rPr>
        <w:t>（固定资产原值</w:t>
      </w:r>
      <w:r>
        <w:rPr>
          <w:rFonts w:ascii="仿宋" w:hAnsi="仿宋" w:eastAsia="仿宋" w:cs="仿宋"/>
          <w:sz w:val="30"/>
          <w:szCs w:val="30"/>
        </w:rPr>
        <w:t>41,004,598.39</w:t>
      </w:r>
      <w:r>
        <w:rPr>
          <w:rFonts w:hint="eastAsia" w:ascii="仿宋" w:hAnsi="仿宋" w:eastAsia="仿宋" w:cs="仿宋"/>
          <w:sz w:val="30"/>
          <w:szCs w:val="30"/>
        </w:rPr>
        <w:t>元，固定资产累计折旧</w:t>
      </w:r>
      <w:r>
        <w:rPr>
          <w:rFonts w:ascii="仿宋" w:hAnsi="仿宋" w:eastAsia="仿宋" w:cs="仿宋"/>
          <w:sz w:val="30"/>
          <w:szCs w:val="30"/>
        </w:rPr>
        <w:t>22,406,841.57</w:t>
      </w:r>
      <w:r>
        <w:rPr>
          <w:rFonts w:hint="eastAsia" w:ascii="仿宋" w:hAnsi="仿宋" w:eastAsia="仿宋" w:cs="仿宋"/>
          <w:sz w:val="30"/>
          <w:szCs w:val="30"/>
        </w:rPr>
        <w:t>元）</w:t>
      </w:r>
      <w:r>
        <w:rPr>
          <w:rFonts w:ascii="仿宋" w:hAnsi="仿宋" w:eastAsia="仿宋" w:cs="仿宋"/>
          <w:sz w:val="30"/>
          <w:szCs w:val="30"/>
        </w:rPr>
        <w:t>，无形资产22,293.58元</w:t>
      </w:r>
      <w:r>
        <w:rPr>
          <w:rFonts w:hint="eastAsia" w:ascii="仿宋" w:hAnsi="仿宋" w:eastAsia="仿宋" w:cs="仿宋"/>
          <w:sz w:val="30"/>
          <w:szCs w:val="30"/>
        </w:rPr>
        <w:t>（无形资产原价</w:t>
      </w:r>
      <w:r>
        <w:rPr>
          <w:rFonts w:ascii="仿宋" w:hAnsi="仿宋" w:eastAsia="仿宋" w:cs="仿宋"/>
          <w:sz w:val="30"/>
          <w:szCs w:val="30"/>
        </w:rPr>
        <w:t>25,002.00</w:t>
      </w:r>
      <w:r>
        <w:rPr>
          <w:rFonts w:hint="eastAsia" w:ascii="仿宋" w:hAnsi="仿宋" w:eastAsia="仿宋" w:cs="仿宋"/>
          <w:sz w:val="30"/>
          <w:szCs w:val="30"/>
        </w:rPr>
        <w:t>元，无形资产累计摊销</w:t>
      </w:r>
      <w:r>
        <w:rPr>
          <w:rFonts w:ascii="仿宋" w:hAnsi="仿宋" w:eastAsia="仿宋" w:cs="仿宋"/>
          <w:sz w:val="30"/>
          <w:szCs w:val="30"/>
        </w:rPr>
        <w:t>2,708.42</w:t>
      </w:r>
      <w:r>
        <w:rPr>
          <w:rFonts w:hint="eastAsia" w:ascii="仿宋" w:hAnsi="仿宋" w:eastAsia="仿宋" w:cs="仿宋"/>
          <w:sz w:val="30"/>
          <w:szCs w:val="30"/>
        </w:rPr>
        <w:t>元）</w:t>
      </w:r>
      <w:r>
        <w:rPr>
          <w:rFonts w:ascii="仿宋" w:hAnsi="仿宋" w:eastAsia="仿宋" w:cs="仿宋"/>
          <w:sz w:val="30"/>
          <w:szCs w:val="30"/>
        </w:rPr>
        <w:t>。与上年相比，本年资产总额增加3,561,568.39元，其中;流动资产增加4,325,776.97元，固定资产</w:t>
      </w:r>
      <w:r>
        <w:rPr>
          <w:rFonts w:hint="eastAsia" w:ascii="仿宋" w:hAnsi="仿宋" w:eastAsia="仿宋" w:cs="仿宋"/>
          <w:sz w:val="30"/>
          <w:szCs w:val="30"/>
        </w:rPr>
        <w:t>减少</w:t>
      </w:r>
      <w:r>
        <w:rPr>
          <w:rFonts w:ascii="仿宋" w:hAnsi="仿宋" w:eastAsia="仿宋" w:cs="仿宋"/>
          <w:sz w:val="30"/>
          <w:szCs w:val="30"/>
        </w:rPr>
        <w:t>761,708.50元</w:t>
      </w:r>
      <w:r>
        <w:rPr>
          <w:rFonts w:hint="eastAsia" w:ascii="仿宋" w:hAnsi="仿宋" w:eastAsia="仿宋" w:cs="仿宋"/>
          <w:sz w:val="30"/>
          <w:szCs w:val="30"/>
        </w:rPr>
        <w:t>（净值）</w:t>
      </w:r>
      <w:r>
        <w:rPr>
          <w:rFonts w:ascii="仿宋" w:hAnsi="仿宋" w:eastAsia="仿宋" w:cs="仿宋"/>
          <w:sz w:val="30"/>
          <w:szCs w:val="30"/>
        </w:rPr>
        <w:t>,无形资产</w:t>
      </w:r>
      <w:r>
        <w:rPr>
          <w:rFonts w:hint="eastAsia" w:ascii="仿宋" w:hAnsi="仿宋" w:eastAsia="仿宋" w:cs="仿宋"/>
          <w:sz w:val="30"/>
          <w:szCs w:val="30"/>
        </w:rPr>
        <w:t>减少</w:t>
      </w:r>
      <w:r>
        <w:rPr>
          <w:rFonts w:ascii="仿宋" w:hAnsi="仿宋" w:eastAsia="仿宋" w:cs="仿宋"/>
          <w:sz w:val="30"/>
          <w:szCs w:val="30"/>
        </w:rPr>
        <w:t>2,500.08元。</w:t>
      </w:r>
      <w:r>
        <w:rPr>
          <w:rFonts w:ascii="Times New Roman" w:hAnsi="Times New Roman" w:eastAsia="Times New Roman" w:cs="Times New Roman"/>
          <w:color w:val="FF0000"/>
          <w:sz w:val="30"/>
          <w:szCs w:val="30"/>
        </w:rPr>
        <w:t> </w:t>
      </w:r>
    </w:p>
    <w:p w14:paraId="5CED3AE9">
      <w:pPr>
        <w:pStyle w:val="9"/>
        <w:spacing w:line="590" w:lineRule="atLeast"/>
        <w:ind w:firstLine="600"/>
        <w:jc w:val="left"/>
      </w:pPr>
      <w:r>
        <w:rPr>
          <w:rFonts w:ascii="黑体" w:hAnsi="黑体" w:eastAsia="黑体" w:cs="黑体"/>
          <w:sz w:val="30"/>
          <w:szCs w:val="30"/>
        </w:rPr>
        <w:t>三、政府采购支出情况</w:t>
      </w:r>
    </w:p>
    <w:p w14:paraId="3106D396">
      <w:pPr>
        <w:pStyle w:val="9"/>
        <w:spacing w:line="590" w:lineRule="atLeast"/>
        <w:ind w:firstLine="600"/>
        <w:jc w:val="left"/>
      </w:pPr>
      <w:r>
        <w:rPr>
          <w:rFonts w:ascii="仿宋" w:hAnsi="仿宋" w:eastAsia="仿宋" w:cs="仿宋"/>
          <w:sz w:val="30"/>
          <w:szCs w:val="30"/>
        </w:rPr>
        <w:t>2019年度，部门政府采购支出总额694,600.00元,其中：政府采购货物支出694,600.00元</w:t>
      </w:r>
      <w:r>
        <w:rPr>
          <w:rFonts w:hint="eastAsia" w:ascii="仿宋" w:hAnsi="仿宋" w:eastAsia="仿宋" w:cs="仿宋"/>
          <w:sz w:val="30"/>
          <w:szCs w:val="30"/>
        </w:rPr>
        <w:t>。</w:t>
      </w:r>
    </w:p>
    <w:p w14:paraId="5F795B09">
      <w:pPr>
        <w:pStyle w:val="9"/>
        <w:spacing w:line="590" w:lineRule="atLeast"/>
        <w:ind w:firstLine="600"/>
        <w:jc w:val="left"/>
      </w:pPr>
      <w:r>
        <w:rPr>
          <w:rFonts w:ascii="黑体" w:hAnsi="黑体" w:eastAsia="黑体" w:cs="黑体"/>
          <w:color w:val="000000"/>
          <w:sz w:val="30"/>
          <w:szCs w:val="30"/>
        </w:rPr>
        <w:t>四、部门绩效自评情况</w:t>
      </w:r>
    </w:p>
    <w:p w14:paraId="30F9AFBF">
      <w:pPr>
        <w:pStyle w:val="9"/>
        <w:spacing w:line="590" w:lineRule="atLeast"/>
        <w:ind w:firstLine="600"/>
        <w:jc w:val="left"/>
      </w:pPr>
      <w:r>
        <w:rPr>
          <w:rFonts w:ascii="仿宋" w:hAnsi="仿宋" w:eastAsia="仿宋" w:cs="仿宋"/>
          <w:color w:val="000000"/>
          <w:sz w:val="30"/>
          <w:szCs w:val="30"/>
        </w:rPr>
        <w:t>部门绩效自评情况表详见附表（</w:t>
      </w:r>
      <w:r>
        <w:rPr>
          <w:rFonts w:hint="eastAsia" w:ascii="仿宋" w:hAnsi="仿宋" w:eastAsia="仿宋" w:cs="仿宋"/>
          <w:color w:val="000000"/>
          <w:sz w:val="30"/>
          <w:szCs w:val="30"/>
        </w:rPr>
        <w:t>云南省寄生虫病防治所部门绩效自评情况表</w:t>
      </w:r>
      <w:r>
        <w:rPr>
          <w:rFonts w:ascii="仿宋" w:hAnsi="仿宋" w:eastAsia="仿宋" w:cs="仿宋"/>
          <w:color w:val="000000"/>
          <w:sz w:val="30"/>
          <w:szCs w:val="30"/>
        </w:rPr>
        <w:t>）</w:t>
      </w:r>
    </w:p>
    <w:p w14:paraId="69F0ABE6">
      <w:pPr>
        <w:pStyle w:val="9"/>
        <w:spacing w:line="590" w:lineRule="atLeast"/>
        <w:ind w:firstLine="600"/>
        <w:jc w:val="left"/>
      </w:pPr>
      <w:r>
        <w:rPr>
          <w:rFonts w:ascii="黑体" w:hAnsi="黑体" w:eastAsia="黑体" w:cs="黑体"/>
          <w:sz w:val="30"/>
          <w:szCs w:val="30"/>
        </w:rPr>
        <w:t>五、其他重要事项情况说明</w:t>
      </w:r>
    </w:p>
    <w:p w14:paraId="158949E9">
      <w:pPr>
        <w:pStyle w:val="9"/>
        <w:spacing w:line="590" w:lineRule="atLeast"/>
        <w:ind w:firstLine="600"/>
        <w:jc w:val="left"/>
      </w:pPr>
      <w:r>
        <w:rPr>
          <w:rFonts w:hint="eastAsia" w:ascii="仿宋" w:hAnsi="仿宋" w:eastAsia="仿宋" w:cs="仿宋"/>
          <w:sz w:val="30"/>
          <w:szCs w:val="30"/>
        </w:rPr>
        <w:t>我所无其他重要事项情况说明。</w:t>
      </w:r>
    </w:p>
    <w:p w14:paraId="5DFE8775">
      <w:pPr>
        <w:pStyle w:val="9"/>
        <w:spacing w:line="590" w:lineRule="atLeast"/>
        <w:ind w:firstLine="600"/>
        <w:jc w:val="left"/>
      </w:pPr>
      <w:r>
        <w:rPr>
          <w:rFonts w:ascii="黑体" w:hAnsi="黑体" w:eastAsia="黑体" w:cs="黑体"/>
          <w:sz w:val="30"/>
          <w:szCs w:val="30"/>
        </w:rPr>
        <w:t>六、相关口径说明</w:t>
      </w:r>
    </w:p>
    <w:p w14:paraId="28244F8A">
      <w:pPr>
        <w:pStyle w:val="9"/>
        <w:spacing w:line="590" w:lineRule="atLeast"/>
        <w:ind w:firstLine="600"/>
        <w:jc w:val="left"/>
      </w:pPr>
      <w:r>
        <w:rPr>
          <w:rFonts w:ascii="仿宋" w:hAnsi="仿宋" w:eastAsia="仿宋" w:cs="仿宋"/>
          <w:sz w:val="30"/>
          <w:szCs w:val="30"/>
        </w:rPr>
        <w:t>（一）基本支出中人员经费包括工资福利支出和对个人和家庭的补助，日常公用支出包括商品和服务支出、资本性支出等人员经费以外的支出。</w:t>
      </w:r>
    </w:p>
    <w:p w14:paraId="22F92A17">
      <w:pPr>
        <w:pStyle w:val="9"/>
        <w:spacing w:line="590" w:lineRule="atLeast"/>
        <w:ind w:firstLine="600"/>
        <w:jc w:val="left"/>
      </w:pPr>
      <w:r>
        <w:rPr>
          <w:rFonts w:ascii="仿宋" w:hAnsi="仿宋" w:eastAsia="仿宋" w:cs="仿宋"/>
          <w:sz w:val="30"/>
          <w:szCs w:val="30"/>
        </w:rPr>
        <w:t>（二）机关运行经费指行政单位和参照公务员法管理的事业单位使用一般公共预算财政拨款安排的基本支出中的日常公用经费支出。</w:t>
      </w:r>
    </w:p>
    <w:p w14:paraId="0A099247">
      <w:pPr>
        <w:pStyle w:val="9"/>
        <w:spacing w:line="590" w:lineRule="atLeast"/>
        <w:ind w:firstLine="600"/>
        <w:jc w:val="left"/>
      </w:pPr>
      <w:r>
        <w:rPr>
          <w:rFonts w:ascii="仿宋" w:hAnsi="仿宋" w:eastAsia="仿宋" w:cs="仿宋"/>
          <w:sz w:val="30"/>
          <w:szCs w:val="30"/>
        </w:rPr>
        <w:t>（三）按照党中央、国务院有关文件及部门预算管理有关规定，</w:t>
      </w:r>
      <w:r>
        <w:rPr>
          <w:rFonts w:ascii="Times New Roman" w:hAnsi="Times New Roman" w:eastAsia="Times New Roman" w:cs="Times New Roman"/>
          <w:sz w:val="30"/>
          <w:szCs w:val="30"/>
        </w:rPr>
        <w:t>“</w:t>
      </w:r>
      <w:r>
        <w:rPr>
          <w:rFonts w:ascii="仿宋" w:hAnsi="仿宋" w:eastAsia="仿宋" w:cs="仿宋"/>
          <w:sz w:val="30"/>
          <w:szCs w:val="30"/>
        </w:rPr>
        <w:t>三公</w:t>
      </w:r>
      <w:r>
        <w:rPr>
          <w:rFonts w:ascii="Times New Roman" w:hAnsi="Times New Roman" w:eastAsia="Times New Roman" w:cs="Times New Roman"/>
          <w:sz w:val="30"/>
          <w:szCs w:val="30"/>
        </w:rPr>
        <w:t>”</w:t>
      </w:r>
      <w:r>
        <w:rPr>
          <w:rFonts w:ascii="仿宋" w:hAnsi="仿宋" w:eastAsia="仿宋" w:cs="仿宋"/>
          <w:sz w:val="30"/>
          <w:szCs w:val="30"/>
        </w:rPr>
        <w:t>经费包括因公出国（境）费、公务用车购置及运行维护费、公务接待费。其中：因公出国（境）费，指单位公务出国（境）的国际旅费、国外城市间交通费、住宿费、伙食费、培训费、公杂费等支出；公务用车购置费，指公务用车购置支出（含车辆购置税、牌照费）；公务用车运行维护费，指单位按规定保留的公务用车燃料费、维修费、过桥过路费、保险费、安全奖励费用等支出；公务用车指用于履行公务的机动车辆，包括省部级干部专车、一般公务用车和执法执勤用车；公务接待费，指单位按规定开支的各类公务接待（含外宾接待）费用。</w:t>
      </w:r>
    </w:p>
    <w:p w14:paraId="2075688A">
      <w:pPr>
        <w:pStyle w:val="9"/>
        <w:spacing w:line="590" w:lineRule="atLeast"/>
        <w:ind w:firstLine="600"/>
        <w:jc w:val="left"/>
      </w:pPr>
      <w:r>
        <w:rPr>
          <w:rFonts w:ascii="仿宋" w:hAnsi="仿宋" w:eastAsia="仿宋" w:cs="仿宋"/>
          <w:sz w:val="30"/>
          <w:szCs w:val="30"/>
        </w:rPr>
        <w:t>（四）</w:t>
      </w:r>
      <w:r>
        <w:rPr>
          <w:rFonts w:ascii="Times New Roman" w:hAnsi="Times New Roman" w:eastAsia="Times New Roman" w:cs="Times New Roman"/>
          <w:sz w:val="30"/>
          <w:szCs w:val="30"/>
        </w:rPr>
        <w:t>“</w:t>
      </w:r>
      <w:r>
        <w:rPr>
          <w:rFonts w:ascii="仿宋" w:hAnsi="仿宋" w:eastAsia="仿宋" w:cs="仿宋"/>
          <w:sz w:val="30"/>
          <w:szCs w:val="30"/>
        </w:rPr>
        <w:t>三公</w:t>
      </w:r>
      <w:r>
        <w:rPr>
          <w:rFonts w:ascii="Times New Roman" w:hAnsi="Times New Roman" w:eastAsia="Times New Roman" w:cs="Times New Roman"/>
          <w:sz w:val="30"/>
          <w:szCs w:val="30"/>
        </w:rPr>
        <w:t>”</w:t>
      </w:r>
      <w:r>
        <w:rPr>
          <w:rFonts w:ascii="仿宋" w:hAnsi="仿宋" w:eastAsia="仿宋" w:cs="仿宋"/>
          <w:sz w:val="30"/>
          <w:szCs w:val="30"/>
        </w:rPr>
        <w:t>经费决算数：指各部门（含下属单位）当年通过本级财政一般公共预算财政拨款和以前年度一般公共预算财政拨款结转结余资金安排的因公出国（境）费、公务用车购置及运行维护费和公务接待费支出数（包括基本支出和项目支出）。</w:t>
      </w:r>
    </w:p>
    <w:p w14:paraId="12B5FE79">
      <w:pPr>
        <w:pStyle w:val="9"/>
        <w:spacing w:line="590" w:lineRule="atLeast"/>
        <w:jc w:val="center"/>
      </w:pPr>
      <w:r>
        <w:rPr>
          <w:rFonts w:ascii="黑体" w:hAnsi="黑体" w:eastAsia="黑体" w:cs="黑体"/>
          <w:sz w:val="32"/>
          <w:szCs w:val="32"/>
        </w:rPr>
        <w:t>第五部分</w:t>
      </w:r>
      <w:r>
        <w:rPr>
          <w:rFonts w:ascii="Calibri" w:hAnsi="Calibri" w:eastAsia="Calibri" w:cs="Calibri"/>
          <w:sz w:val="32"/>
          <w:szCs w:val="32"/>
        </w:rPr>
        <w:t>  </w:t>
      </w:r>
      <w:r>
        <w:rPr>
          <w:rFonts w:ascii="黑体" w:hAnsi="黑体" w:eastAsia="黑体" w:cs="黑体"/>
          <w:sz w:val="32"/>
          <w:szCs w:val="32"/>
        </w:rPr>
        <w:t>名词解释</w:t>
      </w:r>
    </w:p>
    <w:p w14:paraId="5A8EDF4E">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1.一般公共预算：是对以税收为主体的财政收入，安排用于保障和改善民生、推动经济社会发展、维护国家安全、维持国家机构正常运转等方面的收支预算。主要包括本级财力、专项收入、执法办案补助、收费成本补偿、财政专户管理的教育收费和国有资源（资产）有偿使用。</w:t>
      </w:r>
    </w:p>
    <w:p w14:paraId="403F312C">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2.政府性基金预算：是对依照法律、行政法规的规定在一定期限内向特定对象征收、收取或者以其他方式筹集的资金，专项用于特定公共事业发展的收支预算。</w:t>
      </w:r>
    </w:p>
    <w:p w14:paraId="011D2E42">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3.参公管理事业单位：参照《公务员法》第一百零六条：法律、法规授权的具有公共事务管理职能的事业单位中除工勤人员以外的工作人员，经批准参照本法进行管理的事业单位。</w:t>
      </w:r>
    </w:p>
    <w:p w14:paraId="2F16760D">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4.基本支出：保障机构正常运转的日常支出、完成日常工作任务而发生的各项支出，包括一般人员经费、公用经费、工作经费、业务费、死亡一次性抚恤等。</w:t>
      </w:r>
    </w:p>
    <w:p w14:paraId="635332DE">
      <w:pPr>
        <w:pStyle w:val="9"/>
        <w:spacing w:line="590" w:lineRule="atLeast"/>
        <w:ind w:firstLine="600"/>
        <w:rPr>
          <w:rFonts w:ascii="仿宋" w:hAnsi="仿宋" w:eastAsia="仿宋" w:cs="仿宋"/>
          <w:sz w:val="30"/>
          <w:szCs w:val="30"/>
        </w:rPr>
      </w:pPr>
      <w:r>
        <w:rPr>
          <w:rFonts w:hint="eastAsia" w:ascii="仿宋" w:hAnsi="仿宋" w:eastAsia="仿宋" w:cs="仿宋"/>
          <w:sz w:val="30"/>
          <w:szCs w:val="30"/>
        </w:rPr>
        <w:t>5.项目支出：为完成特定的行政工作任务或事业发展目标，在基本支出之外发生的各项支出。如基本公共卫生、重大公共卫生、疾病预防控制、卫生人才培养等方面开支。</w:t>
      </w:r>
    </w:p>
    <w:p w14:paraId="4F656B98">
      <w:pPr>
        <w:pStyle w:val="9"/>
        <w:spacing w:line="590" w:lineRule="atLeast"/>
        <w:ind w:firstLine="600"/>
        <w:jc w:val="left"/>
      </w:pPr>
    </w:p>
    <w:p w14:paraId="52C7324E">
      <w:pPr>
        <w:pStyle w:val="9"/>
      </w:pPr>
      <w:r>
        <w:t> </w:t>
      </w:r>
    </w:p>
    <w:p w14:paraId="44D5D8DE"/>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方正仿宋_GBK">
    <w:altName w:val="微软雅黑"/>
    <w:panose1 w:val="00000000000000000000"/>
    <w:charset w:val="86"/>
    <w:family w:val="script"/>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97E67"/>
    <w:rsid w:val="0004782A"/>
    <w:rsid w:val="00050C6F"/>
    <w:rsid w:val="001207E6"/>
    <w:rsid w:val="00130D0D"/>
    <w:rsid w:val="00164BDB"/>
    <w:rsid w:val="00170DB7"/>
    <w:rsid w:val="00182477"/>
    <w:rsid w:val="001A695A"/>
    <w:rsid w:val="00297E67"/>
    <w:rsid w:val="00356A91"/>
    <w:rsid w:val="003B03C1"/>
    <w:rsid w:val="004F18D3"/>
    <w:rsid w:val="00502555"/>
    <w:rsid w:val="005520E2"/>
    <w:rsid w:val="005920CF"/>
    <w:rsid w:val="006207E1"/>
    <w:rsid w:val="006321C7"/>
    <w:rsid w:val="00693B5A"/>
    <w:rsid w:val="00845053"/>
    <w:rsid w:val="008C30A0"/>
    <w:rsid w:val="00983154"/>
    <w:rsid w:val="009A25C7"/>
    <w:rsid w:val="00A36CF5"/>
    <w:rsid w:val="00A51008"/>
    <w:rsid w:val="00AF2AF9"/>
    <w:rsid w:val="00B26B89"/>
    <w:rsid w:val="00C15B98"/>
    <w:rsid w:val="00CE7F8B"/>
    <w:rsid w:val="00D177EF"/>
    <w:rsid w:val="00DA45A4"/>
    <w:rsid w:val="00E73587"/>
    <w:rsid w:val="00EB2567"/>
    <w:rsid w:val="6C746A1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kern w:val="0"/>
      <w:sz w:val="24"/>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8"/>
    <w:unhideWhenUsed/>
    <w:uiPriority w:val="99"/>
    <w:pPr>
      <w:widowControl w:val="0"/>
      <w:tabs>
        <w:tab w:val="center" w:pos="4153"/>
        <w:tab w:val="right" w:pos="8306"/>
      </w:tabs>
      <w:snapToGrid w:val="0"/>
    </w:pPr>
    <w:rPr>
      <w:rFonts w:asciiTheme="minorHAnsi" w:hAnsiTheme="minorHAnsi" w:eastAsiaTheme="minorEastAsia" w:cstheme="minorBidi"/>
      <w:kern w:val="2"/>
      <w:sz w:val="18"/>
      <w:szCs w:val="18"/>
    </w:rPr>
  </w:style>
  <w:style w:type="paragraph" w:styleId="4">
    <w:name w:val="header"/>
    <w:basedOn w:val="1"/>
    <w:link w:val="7"/>
    <w:unhideWhenUsed/>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uiPriority w:val="99"/>
    <w:rPr>
      <w:sz w:val="18"/>
      <w:szCs w:val="18"/>
    </w:rPr>
  </w:style>
  <w:style w:type="paragraph" w:customStyle="1" w:styleId="9">
    <w:name w:val="p_MsoNormal"/>
    <w:basedOn w:val="1"/>
    <w:uiPriority w:val="0"/>
    <w:pPr>
      <w:jc w:val="both"/>
    </w:pPr>
    <w:rPr>
      <w:rFonts w:ascii="等线" w:hAnsi="等线" w:eastAsia="等线" w:cs="等线"/>
      <w:sz w:val="21"/>
      <w:szCs w:val="21"/>
    </w:rPr>
  </w:style>
  <w:style w:type="character" w:customStyle="1" w:styleId="10">
    <w:name w:val="批注框文本 Char"/>
    <w:basedOn w:val="6"/>
    <w:link w:val="2"/>
    <w:semiHidden/>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13</Pages>
  <Words>5285</Words>
  <Characters>6070</Characters>
  <Lines>44</Lines>
  <Paragraphs>12</Paragraphs>
  <TotalTime>231</TotalTime>
  <ScaleCrop>false</ScaleCrop>
  <LinksUpToDate>false</LinksUpToDate>
  <CharactersWithSpaces>6102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2020-08-27T01:39:00Z</dcterms:created>
  <dc:creator>Administrator</dc:creator>
  <cp:lastModifiedBy>F.K</cp:lastModifiedBy>
  <dcterms:modified xsi:type="dcterms:W3CDTF">2026-03-07T02:30:53Z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eyJoZGlkIjoiODcxZWI0ZGMzMDc4ODRmMWU2YmEyMDMzNTExZGJkYWEiLCJ1c2VySWQiOiI0NTM1MDUxNDkifQ==</vt:lpwstr>
  </property>
  <property fmtid="{D5CDD505-2E9C-101B-9397-08002B2CF9AE}" pid="3" name="KSOProductBuildVer">
    <vt:lpwstr>2052-12.1.0.25225</vt:lpwstr>
  </property>
  <property fmtid="{D5CDD505-2E9C-101B-9397-08002B2CF9AE}" pid="4" name="ICV">
    <vt:lpwstr>95A83287125E4DE58C64A8BDAEF6BBF1_12</vt:lpwstr>
  </property>
</Properties>
</file>