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Lines="-2147483648" w:afterLines="-2147483648" w:line="640" w:lineRule="exact"/>
        <w:ind w:firstLine="0" w:firstLineChars="0"/>
        <w:jc w:val="center"/>
        <w:textAlignment w:val="auto"/>
        <w:outlineLvl w:val="9"/>
        <w:rPr>
          <w:rFonts w:hint="eastAsia" w:ascii="方正小标宋_GBK" w:hAnsi="方正小标宋_GBK" w:eastAsia="方正小标宋_GBK" w:cs="方正小标宋_GBK"/>
          <w:b w:val="0"/>
          <w:bCs w:val="0"/>
          <w:kern w:val="2"/>
          <w:sz w:val="44"/>
          <w:szCs w:val="44"/>
        </w:rPr>
      </w:pPr>
      <w:bookmarkStart w:id="0" w:name="_Toc72460124"/>
      <w:bookmarkStart w:id="1" w:name="_Toc72461146"/>
      <w:bookmarkStart w:id="2" w:name="_Toc72460614"/>
      <w:r>
        <w:rPr>
          <w:rFonts w:hint="eastAsia" w:ascii="方正小标宋_GBK" w:hAnsi="方正小标宋_GBK" w:eastAsia="方正小标宋_GBK" w:cs="方正小标宋_GBK"/>
          <w:b w:val="0"/>
          <w:bCs w:val="0"/>
          <w:color w:val="auto"/>
          <w:kern w:val="2"/>
          <w:sz w:val="44"/>
          <w:szCs w:val="44"/>
          <w:highlight w:val="none"/>
        </w:rPr>
        <w:t xml:space="preserve">《云南省食品安全地方标准 </w:t>
      </w:r>
      <w:r>
        <w:rPr>
          <w:rFonts w:hint="eastAsia" w:ascii="方正小标宋_GBK" w:hAnsi="方正小标宋_GBK" w:eastAsia="方正小标宋_GBK" w:cs="方正小标宋_GBK"/>
          <w:b w:val="0"/>
          <w:bCs w:val="0"/>
          <w:color w:val="auto"/>
          <w:kern w:val="2"/>
          <w:sz w:val="44"/>
          <w:szCs w:val="44"/>
          <w:highlight w:val="none"/>
          <w:lang w:val="en-US" w:eastAsia="zh-CN"/>
        </w:rPr>
        <w:t>滇皂荚米</w:t>
      </w:r>
      <w:r>
        <w:rPr>
          <w:rFonts w:hint="eastAsia" w:ascii="方正小标宋_GBK" w:hAnsi="方正小标宋_GBK" w:eastAsia="方正小标宋_GBK" w:cs="方正小标宋_GBK"/>
          <w:b w:val="0"/>
          <w:bCs w:val="0"/>
          <w:color w:val="auto"/>
          <w:kern w:val="2"/>
          <w:sz w:val="44"/>
          <w:szCs w:val="44"/>
          <w:highlight w:val="none"/>
        </w:rPr>
        <w:t>》</w:t>
      </w:r>
    </w:p>
    <w:p>
      <w:pPr>
        <w:keepNext w:val="0"/>
        <w:keepLines w:val="0"/>
        <w:pageBreakBefore w:val="0"/>
        <w:widowControl w:val="0"/>
        <w:kinsoku/>
        <w:wordWrap/>
        <w:overflowPunct/>
        <w:topLinePunct w:val="0"/>
        <w:autoSpaceDE/>
        <w:autoSpaceDN/>
        <w:bidi w:val="0"/>
        <w:adjustRightInd/>
        <w:snapToGrid/>
        <w:spacing w:beforeLines="-2147483648" w:afterLines="-2147483648" w:line="640" w:lineRule="exact"/>
        <w:ind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val="0"/>
          <w:bCs w:val="0"/>
          <w:color w:val="auto"/>
          <w:kern w:val="2"/>
          <w:sz w:val="44"/>
          <w:szCs w:val="44"/>
          <w:highlight w:val="none"/>
        </w:rPr>
        <w:t>编制说明</w:t>
      </w:r>
      <w:bookmarkStart w:id="3" w:name="_Toc32405"/>
      <w:bookmarkStart w:id="4" w:name="_Toc7643"/>
      <w:bookmarkStart w:id="5" w:name="_Toc14438"/>
      <w:r>
        <w:rPr>
          <w:rFonts w:hint="eastAsia" w:ascii="方正小标宋_GBK" w:hAnsi="方正小标宋_GBK" w:eastAsia="方正小标宋_GBK" w:cs="方正小标宋_GBK"/>
          <w:sz w:val="44"/>
          <w:szCs w:val="44"/>
        </w:rPr>
        <w:t>（征求意见稿）</w:t>
      </w:r>
    </w:p>
    <w:p>
      <w:pPr>
        <w:keepNext w:val="0"/>
        <w:keepLines w:val="0"/>
        <w:pageBreakBefore w:val="0"/>
        <w:widowControl w:val="0"/>
        <w:kinsoku/>
        <w:wordWrap/>
        <w:overflowPunct/>
        <w:topLinePunct w:val="0"/>
        <w:autoSpaceDE/>
        <w:autoSpaceDN/>
        <w:bidi w:val="0"/>
        <w:adjustRightInd/>
        <w:snapToGrid/>
        <w:spacing w:beforeLines="-2147483648" w:afterLines="-2147483648" w:line="640" w:lineRule="exact"/>
        <w:ind w:firstLine="0" w:firstLineChars="0"/>
        <w:jc w:val="both"/>
        <w:textAlignment w:val="auto"/>
        <w:outlineLvl w:val="9"/>
        <w:rPr>
          <w:rFonts w:hint="eastAsia" w:ascii="方正小标宋_GBK" w:hAnsi="方正小标宋_GBK" w:eastAsia="方正小标宋_GBK" w:cs="方正小标宋_GBK"/>
          <w:b w:val="0"/>
          <w:bCs w:val="0"/>
          <w:color w:val="auto"/>
          <w:kern w:val="2"/>
          <w:sz w:val="44"/>
          <w:szCs w:val="44"/>
          <w:highlight w:val="none"/>
          <w:lang w:val="en-US" w:eastAsia="zh-CN"/>
        </w:rPr>
      </w:pPr>
    </w:p>
    <w:p>
      <w:pPr>
        <w:keepNext w:val="0"/>
        <w:keepLines w:val="0"/>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黑体" w:hAnsi="黑体" w:eastAsia="黑体" w:cs="黑体"/>
          <w:b w:val="0"/>
          <w:bCs/>
          <w:color w:val="auto"/>
          <w:kern w:val="2"/>
          <w:sz w:val="32"/>
          <w:szCs w:val="32"/>
          <w:highlight w:val="none"/>
        </w:rPr>
      </w:pPr>
      <w:r>
        <w:rPr>
          <w:rFonts w:hint="eastAsia" w:ascii="黑体" w:hAnsi="黑体" w:eastAsia="黑体" w:cs="黑体"/>
          <w:b w:val="0"/>
          <w:bCs/>
          <w:color w:val="auto"/>
          <w:kern w:val="2"/>
          <w:sz w:val="32"/>
          <w:szCs w:val="32"/>
          <w:highlight w:val="none"/>
          <w:lang w:val="en-US" w:eastAsia="zh-CN"/>
        </w:rPr>
        <w:t>一、</w:t>
      </w:r>
      <w:r>
        <w:rPr>
          <w:rFonts w:hint="eastAsia" w:ascii="黑体" w:hAnsi="黑体" w:eastAsia="黑体" w:cs="黑体"/>
          <w:b w:val="0"/>
          <w:bCs/>
          <w:color w:val="auto"/>
          <w:kern w:val="2"/>
          <w:sz w:val="32"/>
          <w:szCs w:val="32"/>
          <w:highlight w:val="none"/>
        </w:rPr>
        <w:t>任务来源，起草单位，协作单位，主要起草人</w:t>
      </w:r>
      <w:bookmarkEnd w:id="0"/>
      <w:bookmarkEnd w:id="1"/>
      <w:bookmarkEnd w:id="2"/>
      <w:bookmarkEnd w:id="3"/>
      <w:bookmarkEnd w:id="4"/>
      <w:bookmarkEnd w:id="5"/>
    </w:p>
    <w:p>
      <w:pPr>
        <w:pStyle w:val="3"/>
        <w:pageBreakBefore w:val="0"/>
        <w:kinsoku/>
        <w:wordWrap/>
        <w:overflowPunct/>
        <w:topLinePunct w:val="0"/>
        <w:bidi w:val="0"/>
        <w:snapToGrid/>
        <w:spacing w:before="0" w:beforeLines="0" w:after="0" w:afterLines="0" w:line="360" w:lineRule="auto"/>
        <w:ind w:firstLine="640" w:firstLineChars="200"/>
        <w:jc w:val="both"/>
        <w:textAlignment w:val="auto"/>
        <w:rPr>
          <w:rFonts w:hint="eastAsia" w:ascii="Times New Roman" w:hAnsi="Times New Roman" w:eastAsia="宋体" w:cs="Times New Roman"/>
          <w:b w:val="0"/>
          <w:bCs/>
          <w:color w:val="000000" w:themeColor="text1"/>
          <w:kern w:val="0"/>
          <w:sz w:val="30"/>
          <w:szCs w:val="30"/>
          <w:highlight w:val="none"/>
          <w14:textFill>
            <w14:solidFill>
              <w14:schemeClr w14:val="tx1"/>
            </w14:solidFill>
          </w14:textFill>
        </w:rPr>
      </w:pPr>
      <w:bookmarkStart w:id="6" w:name="_Toc72460615"/>
      <w:bookmarkStart w:id="7" w:name="_Toc72460125"/>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 xml:space="preserve">（一） </w:t>
      </w:r>
      <w:r>
        <w:rPr>
          <w:rFonts w:hint="eastAsia" w:ascii="楷体" w:hAnsi="楷体" w:eastAsia="楷体" w:cs="楷体"/>
          <w:b w:val="0"/>
          <w:bCs/>
          <w:color w:val="000000" w:themeColor="text1"/>
          <w:kern w:val="0"/>
          <w:sz w:val="32"/>
          <w:szCs w:val="32"/>
          <w:highlight w:val="none"/>
          <w14:textFill>
            <w14:solidFill>
              <w14:schemeClr w14:val="tx1"/>
            </w14:solidFill>
          </w14:textFill>
        </w:rPr>
        <w:t>任务来源</w:t>
      </w:r>
      <w:bookmarkEnd w:id="6"/>
      <w:bookmarkEnd w:id="7"/>
    </w:p>
    <w:p>
      <w:pPr>
        <w:pageBreakBefore w:val="0"/>
        <w:kinsoku/>
        <w:wordWrap/>
        <w:overflowPunct/>
        <w:topLinePunct w:val="0"/>
        <w:autoSpaceDE/>
        <w:autoSpaceDN/>
        <w:bidi w:val="0"/>
        <w:adjustRightInd/>
        <w:snapToGrid/>
        <w:spacing w:beforeLines="-2147483648" w:afterLines="-2147483648" w:line="360" w:lineRule="auto"/>
        <w:ind w:firstLine="640" w:firstLineChars="200"/>
        <w:jc w:val="both"/>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根据《云南省食品安全地方标准管理办法》规定，《云南省食品安全地方标准 </w:t>
      </w:r>
      <w:r>
        <w:rPr>
          <w:rFonts w:hint="eastAsia" w:ascii="仿宋_GB2312" w:hAnsi="仿宋_GB2312" w:eastAsia="仿宋_GB2312" w:cs="仿宋_GB2312"/>
          <w:color w:val="auto"/>
          <w:sz w:val="32"/>
          <w:szCs w:val="32"/>
          <w:highlight w:val="none"/>
          <w:shd w:val="clear" w:color="auto" w:fill="auto"/>
          <w:lang w:val="en-US" w:eastAsia="zh-CN"/>
        </w:rPr>
        <w:t>滇皂荚米</w:t>
      </w:r>
      <w:r>
        <w:rPr>
          <w:rFonts w:hint="eastAsia" w:ascii="仿宋_GB2312" w:hAnsi="仿宋_GB2312" w:eastAsia="仿宋_GB2312" w:cs="仿宋_GB2312"/>
          <w:color w:val="auto"/>
          <w:sz w:val="32"/>
          <w:szCs w:val="32"/>
          <w:highlight w:val="none"/>
          <w:shd w:val="clear" w:color="auto" w:fill="auto"/>
        </w:rPr>
        <w:t>》列入</w:t>
      </w:r>
      <w:r>
        <w:rPr>
          <w:rFonts w:hint="eastAsia" w:ascii="仿宋_GB2312" w:hAnsi="仿宋_GB2312" w:eastAsia="仿宋_GB2312" w:cs="仿宋_GB2312"/>
          <w:color w:val="auto"/>
          <w:sz w:val="32"/>
          <w:szCs w:val="32"/>
          <w:highlight w:val="none"/>
          <w:shd w:val="clear" w:color="auto" w:fill="auto"/>
          <w:lang w:val="en-US" w:eastAsia="zh-CN"/>
        </w:rPr>
        <w:t>2025</w:t>
      </w:r>
      <w:r>
        <w:rPr>
          <w:rFonts w:hint="eastAsia" w:ascii="仿宋_GB2312" w:hAnsi="仿宋_GB2312" w:eastAsia="仿宋_GB2312" w:cs="仿宋_GB2312"/>
          <w:color w:val="auto"/>
          <w:sz w:val="32"/>
          <w:szCs w:val="32"/>
          <w:highlight w:val="none"/>
          <w:shd w:val="clear" w:color="auto" w:fill="auto"/>
        </w:rPr>
        <w:t>年云南省食品安全地方标准计划项目</w:t>
      </w:r>
      <w:r>
        <w:rPr>
          <w:rFonts w:hint="eastAsia" w:ascii="仿宋_GB2312" w:hAnsi="仿宋_GB2312" w:eastAsia="仿宋_GB2312" w:cs="仿宋_GB2312"/>
          <w:color w:val="auto"/>
          <w:sz w:val="32"/>
          <w:szCs w:val="32"/>
          <w:highlight w:val="none"/>
        </w:rPr>
        <w:t>（云卫</w:t>
      </w:r>
      <w:r>
        <w:rPr>
          <w:rFonts w:hint="eastAsia" w:ascii="仿宋_GB2312" w:hAnsi="仿宋_GB2312" w:eastAsia="仿宋_GB2312" w:cs="仿宋_GB2312"/>
          <w:color w:val="auto"/>
          <w:sz w:val="32"/>
          <w:szCs w:val="32"/>
          <w:highlight w:val="none"/>
          <w:lang w:eastAsia="zh-CN"/>
        </w:rPr>
        <w:t>〔2025〕</w:t>
      </w:r>
      <w:r>
        <w:rPr>
          <w:rFonts w:hint="eastAsia" w:ascii="仿宋_GB2312" w:hAnsi="仿宋_GB2312" w:eastAsia="仿宋_GB2312" w:cs="仿宋_GB2312"/>
          <w:color w:val="auto"/>
          <w:sz w:val="32"/>
          <w:szCs w:val="32"/>
          <w:highlight w:val="none"/>
        </w:rPr>
        <w:t>DB00</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shd w:val="clear" w:color="auto" w:fill="auto"/>
        </w:rPr>
        <w:t>。</w:t>
      </w:r>
    </w:p>
    <w:p>
      <w:pPr>
        <w:pStyle w:val="3"/>
        <w:pageBreakBefore w:val="0"/>
        <w:kinsoku/>
        <w:wordWrap/>
        <w:overflowPunct/>
        <w:topLinePunct w:val="0"/>
        <w:bidi w:val="0"/>
        <w:snapToGrid/>
        <w:spacing w:before="0" w:beforeLines="0" w:after="0" w:afterLines="0" w:line="360" w:lineRule="auto"/>
        <w:ind w:firstLine="640" w:firstLineChars="200"/>
        <w:jc w:val="both"/>
        <w:textAlignment w:val="auto"/>
        <w:rPr>
          <w:rFonts w:hint="eastAsia" w:ascii="楷体" w:hAnsi="楷体" w:eastAsia="楷体" w:cs="楷体"/>
          <w:b w:val="0"/>
          <w:bCs/>
          <w:color w:val="000000" w:themeColor="text1"/>
          <w:kern w:val="0"/>
          <w:sz w:val="32"/>
          <w:szCs w:val="32"/>
          <w:highlight w:val="none"/>
          <w14:textFill>
            <w14:solidFill>
              <w14:schemeClr w14:val="tx1"/>
            </w14:solidFill>
          </w14:textFill>
        </w:rPr>
      </w:pPr>
      <w:bookmarkStart w:id="8" w:name="_Toc72460616"/>
      <w:bookmarkStart w:id="9" w:name="_Toc72460126"/>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 xml:space="preserve">（二） </w:t>
      </w:r>
      <w:r>
        <w:rPr>
          <w:rFonts w:hint="eastAsia" w:ascii="楷体" w:hAnsi="楷体" w:eastAsia="楷体" w:cs="楷体"/>
          <w:b w:val="0"/>
          <w:bCs/>
          <w:color w:val="000000" w:themeColor="text1"/>
          <w:kern w:val="0"/>
          <w:sz w:val="32"/>
          <w:szCs w:val="32"/>
          <w:highlight w:val="none"/>
          <w14:textFill>
            <w14:solidFill>
              <w14:schemeClr w14:val="tx1"/>
            </w14:solidFill>
          </w14:textFill>
        </w:rPr>
        <w:t>起草单位</w:t>
      </w:r>
      <w:bookmarkEnd w:id="8"/>
      <w:bookmarkEnd w:id="9"/>
    </w:p>
    <w:p>
      <w:pPr>
        <w:pageBreakBefore w:val="0"/>
        <w:kinsoku/>
        <w:wordWrap/>
        <w:overflowPunct/>
        <w:topLinePunct w:val="0"/>
        <w:autoSpaceDE/>
        <w:autoSpaceDN/>
        <w:bidi w:val="0"/>
        <w:adjustRightInd/>
        <w:snapToGrid/>
        <w:spacing w:beforeLines="-2147483648" w:afterLines="-2147483648" w:line="360" w:lineRule="auto"/>
        <w:ind w:firstLine="640" w:firstLineChars="200"/>
        <w:jc w:val="both"/>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kern w:val="2"/>
          <w:sz w:val="32"/>
          <w:szCs w:val="32"/>
          <w:highlight w:val="none"/>
          <w:shd w:val="clear" w:color="auto" w:fill="auto"/>
        </w:rPr>
        <w:t>本标准起草单</w:t>
      </w:r>
      <w:r>
        <w:rPr>
          <w:rFonts w:hint="eastAsia" w:ascii="仿宋_GB2312" w:hAnsi="仿宋_GB2312" w:eastAsia="仿宋_GB2312" w:cs="仿宋_GB2312"/>
          <w:color w:val="auto"/>
          <w:sz w:val="32"/>
          <w:szCs w:val="32"/>
          <w:highlight w:val="none"/>
          <w:shd w:val="clear" w:color="auto" w:fill="auto"/>
        </w:rPr>
        <w:t>位</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梁河县林业和草原局营林工作站</w:t>
      </w:r>
      <w:bookmarkStart w:id="10" w:name="OLE_LINK7"/>
      <w:bookmarkStart w:id="11" w:name="OLE_LINK45"/>
      <w:r>
        <w:rPr>
          <w:rFonts w:hint="eastAsia" w:ascii="仿宋_GB2312" w:hAnsi="仿宋_GB2312" w:eastAsia="仿宋_GB2312" w:cs="仿宋_GB2312"/>
          <w:sz w:val="32"/>
          <w:szCs w:val="32"/>
          <w:shd w:val="clear"/>
          <w:lang w:val="en-US" w:eastAsia="zh-CN"/>
        </w:rPr>
        <w:t>。</w:t>
      </w:r>
      <w:r>
        <w:rPr>
          <w:rFonts w:hint="eastAsia" w:ascii="仿宋_GB2312" w:hAnsi="仿宋_GB2312" w:eastAsia="仿宋_GB2312" w:cs="仿宋_GB2312"/>
          <w:color w:val="auto"/>
          <w:sz w:val="32"/>
          <w:szCs w:val="32"/>
          <w:highlight w:val="none"/>
          <w:shd w:val="clear" w:color="auto" w:fill="auto"/>
          <w:lang w:val="en-US" w:eastAsia="zh-CN"/>
        </w:rPr>
        <w:t>协作单位：德宏州林草种苗管理和质量监督检验站</w:t>
      </w:r>
      <w:bookmarkEnd w:id="10"/>
      <w:r>
        <w:rPr>
          <w:rFonts w:hint="eastAsia" w:ascii="仿宋_GB2312" w:hAnsi="仿宋_GB2312" w:eastAsia="仿宋_GB2312" w:cs="仿宋_GB2312"/>
          <w:color w:val="auto"/>
          <w:sz w:val="32"/>
          <w:szCs w:val="32"/>
          <w:highlight w:val="none"/>
          <w:shd w:val="clear" w:color="auto" w:fill="auto"/>
          <w:lang w:val="en-US" w:eastAsia="zh-CN"/>
        </w:rPr>
        <w:t>、梁河国控现代农林开发有限责任公司、梁河县边城食品有限公司、梁河县林云苗圃。</w:t>
      </w:r>
    </w:p>
    <w:bookmarkEnd w:id="11"/>
    <w:p>
      <w:pPr>
        <w:pStyle w:val="3"/>
        <w:pageBreakBefore w:val="0"/>
        <w:kinsoku/>
        <w:wordWrap/>
        <w:overflowPunct/>
        <w:topLinePunct w:val="0"/>
        <w:bidi w:val="0"/>
        <w:snapToGrid/>
        <w:spacing w:before="0" w:beforeLines="0" w:after="0" w:afterLines="0" w:line="360" w:lineRule="auto"/>
        <w:ind w:firstLine="640" w:firstLineChars="200"/>
        <w:jc w:val="both"/>
        <w:textAlignment w:val="auto"/>
        <w:rPr>
          <w:rFonts w:hint="eastAsia" w:ascii="楷体" w:hAnsi="楷体" w:eastAsia="楷体" w:cs="楷体"/>
          <w:b w:val="0"/>
          <w:bCs/>
          <w:color w:val="000000" w:themeColor="text1"/>
          <w:kern w:val="0"/>
          <w:sz w:val="32"/>
          <w:szCs w:val="32"/>
          <w:highlight w:val="none"/>
          <w14:textFill>
            <w14:solidFill>
              <w14:schemeClr w14:val="tx1"/>
            </w14:solidFill>
          </w14:textFill>
        </w:rPr>
      </w:pPr>
      <w:bookmarkStart w:id="12" w:name="_Toc72460617"/>
      <w:bookmarkStart w:id="13" w:name="_Toc72460127"/>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（三）</w:t>
      </w:r>
      <w:r>
        <w:rPr>
          <w:rFonts w:hint="eastAsia" w:ascii="楷体" w:hAnsi="楷体" w:eastAsia="楷体" w:cs="楷体"/>
          <w:b w:val="0"/>
          <w:bCs/>
          <w:color w:val="000000" w:themeColor="text1"/>
          <w:kern w:val="0"/>
          <w:sz w:val="32"/>
          <w:szCs w:val="32"/>
          <w:highlight w:val="none"/>
          <w14:textFill>
            <w14:solidFill>
              <w14:schemeClr w14:val="tx1"/>
            </w14:solidFill>
          </w14:textFill>
        </w:rPr>
        <w:t>主要起草</w:t>
      </w:r>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及参与</w:t>
      </w:r>
      <w:r>
        <w:rPr>
          <w:rFonts w:hint="eastAsia" w:ascii="楷体" w:hAnsi="楷体" w:eastAsia="楷体" w:cs="楷体"/>
          <w:b w:val="0"/>
          <w:bCs/>
          <w:color w:val="000000" w:themeColor="text1"/>
          <w:kern w:val="0"/>
          <w:sz w:val="32"/>
          <w:szCs w:val="32"/>
          <w:highlight w:val="none"/>
          <w14:textFill>
            <w14:solidFill>
              <w14:schemeClr w14:val="tx1"/>
            </w14:solidFill>
          </w14:textFill>
        </w:rPr>
        <w:t>人</w:t>
      </w:r>
      <w:bookmarkEnd w:id="12"/>
      <w:bookmarkEnd w:id="13"/>
    </w:p>
    <w:p>
      <w:pPr>
        <w:keepNext w:val="0"/>
        <w:keepLines w:val="0"/>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仿宋_GB2312" w:hAnsi="仿宋_GB2312" w:eastAsia="仿宋_GB2312" w:cs="仿宋_GB2312"/>
          <w:b w:val="0"/>
          <w:bCs w:val="0"/>
          <w:color w:val="auto"/>
          <w:sz w:val="32"/>
          <w:szCs w:val="32"/>
          <w:highlight w:val="none"/>
          <w:shd w:val="clear" w:color="auto" w:fill="auto"/>
        </w:rPr>
      </w:pPr>
      <w:r>
        <w:rPr>
          <w:rFonts w:hint="eastAsia" w:ascii="仿宋_GB2312" w:hAnsi="仿宋_GB2312" w:eastAsia="仿宋_GB2312" w:cs="仿宋_GB2312"/>
          <w:b w:val="0"/>
          <w:bCs w:val="0"/>
          <w:color w:val="auto"/>
          <w:sz w:val="32"/>
          <w:szCs w:val="32"/>
          <w:highlight w:val="none"/>
          <w:shd w:val="clear" w:color="auto" w:fill="auto"/>
        </w:rPr>
        <w:t>饶万邦、李玲艳、高苹、周红明、沈德周、杨帆、蚌灵翔、吴小魏、朱绍志、王婧、李和丰、蔺应礼、郗三旺团、宋庆仙、杨恩菊、岳元福、熊开伟、赵兴如、赵静、梁志康、尹加笔、尹安强、刘玲、赵加林。</w:t>
      </w:r>
      <w:bookmarkStart w:id="14" w:name="_Toc10848"/>
      <w:bookmarkStart w:id="15" w:name="_Toc72460128"/>
      <w:bookmarkStart w:id="16" w:name="_Toc72460618"/>
      <w:bookmarkStart w:id="17" w:name="_Toc27888"/>
      <w:bookmarkStart w:id="18" w:name="_Toc72461147"/>
    </w:p>
    <w:p>
      <w:pPr>
        <w:keepNext w:val="0"/>
        <w:keepLines w:val="0"/>
        <w:pageBreakBefore w:val="0"/>
        <w:widowControl/>
        <w:kinsoku/>
        <w:wordWrap/>
        <w:overflowPunct/>
        <w:topLinePunct w:val="0"/>
        <w:autoSpaceDE/>
        <w:autoSpaceDN/>
        <w:bidi w:val="0"/>
        <w:adjustRightInd/>
        <w:snapToGrid/>
        <w:spacing w:beforeLines="-2147483648" w:afterLines="-2147483648" w:line="360" w:lineRule="auto"/>
        <w:ind w:firstLine="627" w:firstLineChars="196"/>
        <w:jc w:val="both"/>
        <w:textAlignment w:val="auto"/>
        <w:outlineLvl w:val="9"/>
        <w:rPr>
          <w:rFonts w:hint="eastAsia" w:ascii="黑体" w:hAnsi="黑体" w:eastAsia="黑体" w:cs="黑体"/>
          <w:b w:val="0"/>
          <w:bCs/>
          <w:color w:val="auto"/>
          <w:kern w:val="2"/>
          <w:sz w:val="32"/>
          <w:szCs w:val="32"/>
          <w:highlight w:val="none"/>
        </w:rPr>
      </w:pPr>
      <w:r>
        <w:rPr>
          <w:rFonts w:hint="eastAsia" w:ascii="黑体" w:hAnsi="黑体" w:eastAsia="黑体" w:cs="黑体"/>
          <w:b w:val="0"/>
          <w:bCs/>
          <w:color w:val="auto"/>
          <w:kern w:val="2"/>
          <w:sz w:val="32"/>
          <w:szCs w:val="32"/>
          <w:highlight w:val="none"/>
          <w:lang w:val="en-US" w:eastAsia="zh-CN"/>
        </w:rPr>
        <w:t>二、</w:t>
      </w:r>
      <w:r>
        <w:rPr>
          <w:rFonts w:hint="eastAsia" w:ascii="黑体" w:hAnsi="黑体" w:eastAsia="黑体" w:cs="黑体"/>
          <w:b w:val="0"/>
          <w:bCs/>
          <w:color w:val="auto"/>
          <w:kern w:val="2"/>
          <w:sz w:val="32"/>
          <w:szCs w:val="32"/>
          <w:highlight w:val="none"/>
        </w:rPr>
        <w:t>制（修）订标准的必要性和意义</w:t>
      </w:r>
      <w:bookmarkEnd w:id="14"/>
      <w:bookmarkEnd w:id="15"/>
      <w:bookmarkEnd w:id="16"/>
      <w:bookmarkEnd w:id="17"/>
      <w:bookmarkEnd w:id="18"/>
    </w:p>
    <w:p>
      <w:pPr>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仿宋_GB2312" w:hAnsi="仿宋_GB2312" w:eastAsia="仿宋_GB2312" w:cs="仿宋_GB2312"/>
          <w:color w:val="auto"/>
          <w:sz w:val="32"/>
          <w:szCs w:val="32"/>
          <w:highlight w:val="none"/>
          <w:shd w:val="clear" w:color="auto" w:fill="auto"/>
        </w:rPr>
      </w:pPr>
      <w:bookmarkStart w:id="19" w:name="_Toc72461148"/>
      <w:bookmarkStart w:id="20" w:name="_Toc72460619"/>
      <w:bookmarkStart w:id="21" w:name="_Toc72460129"/>
      <w:r>
        <w:rPr>
          <w:rFonts w:hint="eastAsia" w:ascii="仿宋_GB2312" w:hAnsi="仿宋_GB2312" w:eastAsia="仿宋_GB2312" w:cs="仿宋_GB2312"/>
          <w:color w:val="auto"/>
          <w:sz w:val="32"/>
          <w:szCs w:val="32"/>
          <w:highlight w:val="none"/>
          <w:shd w:val="clear" w:color="auto" w:fill="auto"/>
          <w:lang w:val="en-US" w:eastAsia="zh-CN"/>
        </w:rPr>
        <w:t>滇皂荚米由</w:t>
      </w:r>
      <w:r>
        <w:rPr>
          <w:rFonts w:hint="eastAsia" w:ascii="仿宋_GB2312" w:hAnsi="仿宋_GB2312" w:eastAsia="仿宋_GB2312" w:cs="仿宋_GB2312"/>
          <w:color w:val="auto"/>
          <w:sz w:val="32"/>
          <w:szCs w:val="32"/>
          <w:highlight w:val="none"/>
          <w:shd w:val="clear" w:color="auto" w:fill="auto"/>
        </w:rPr>
        <w:t>滇皂荚</w:t>
      </w:r>
      <w:bookmarkStart w:id="22" w:name="OLE_LINK1"/>
      <w:r>
        <w:rPr>
          <w:rFonts w:hint="eastAsia" w:ascii="仿宋_GB2312" w:hAnsi="仿宋_GB2312" w:eastAsia="仿宋_GB2312" w:cs="仿宋_GB2312"/>
          <w:color w:val="auto"/>
          <w:sz w:val="32"/>
          <w:szCs w:val="32"/>
          <w:highlight w:val="none"/>
          <w:shd w:val="clear" w:color="auto" w:fill="auto"/>
        </w:rPr>
        <w:t>去荚取种</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去</w:t>
      </w:r>
      <w:r>
        <w:rPr>
          <w:rFonts w:hint="eastAsia" w:ascii="仿宋_GB2312" w:hAnsi="仿宋_GB2312" w:eastAsia="仿宋_GB2312" w:cs="仿宋_GB2312"/>
          <w:color w:val="auto"/>
          <w:sz w:val="32"/>
          <w:szCs w:val="32"/>
          <w:highlight w:val="none"/>
          <w:shd w:val="clear" w:color="auto" w:fill="auto"/>
          <w:lang w:val="en-US" w:eastAsia="zh-CN"/>
        </w:rPr>
        <w:t>除</w:t>
      </w:r>
      <w:r>
        <w:rPr>
          <w:rFonts w:hint="eastAsia" w:ascii="仿宋_GB2312" w:hAnsi="仿宋_GB2312" w:eastAsia="仿宋_GB2312" w:cs="仿宋_GB2312"/>
          <w:color w:val="auto"/>
          <w:sz w:val="32"/>
          <w:szCs w:val="32"/>
          <w:highlight w:val="none"/>
          <w:shd w:val="clear" w:color="auto" w:fill="auto"/>
        </w:rPr>
        <w:t>种皮、</w:t>
      </w:r>
      <w:r>
        <w:rPr>
          <w:rFonts w:hint="eastAsia" w:ascii="仿宋_GB2312" w:hAnsi="仿宋_GB2312" w:eastAsia="仿宋_GB2312" w:cs="仿宋_GB2312"/>
          <w:color w:val="auto"/>
          <w:sz w:val="32"/>
          <w:szCs w:val="32"/>
          <w:highlight w:val="none"/>
          <w:shd w:val="clear" w:color="auto" w:fill="auto"/>
          <w:lang w:val="en-US" w:eastAsia="zh-CN"/>
        </w:rPr>
        <w:t>子叶</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取外胚乳</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天然晒干（或烘干）等工</w:t>
      </w:r>
      <w:r>
        <w:rPr>
          <w:rFonts w:hint="eastAsia" w:ascii="仿宋_GB2312" w:hAnsi="仿宋_GB2312" w:eastAsia="仿宋_GB2312" w:cs="仿宋_GB2312"/>
          <w:color w:val="auto"/>
          <w:sz w:val="32"/>
          <w:szCs w:val="32"/>
          <w:highlight w:val="none"/>
          <w:shd w:val="clear" w:color="auto" w:fill="auto"/>
          <w:lang w:val="en-US" w:eastAsia="zh-CN"/>
        </w:rPr>
        <w:t>艺</w:t>
      </w:r>
      <w:bookmarkEnd w:id="22"/>
      <w:r>
        <w:rPr>
          <w:rFonts w:hint="eastAsia" w:ascii="仿宋_GB2312" w:hAnsi="仿宋_GB2312" w:eastAsia="仿宋_GB2312" w:cs="仿宋_GB2312"/>
          <w:color w:val="auto"/>
          <w:sz w:val="32"/>
          <w:szCs w:val="32"/>
          <w:highlight w:val="none"/>
          <w:shd w:val="clear" w:color="auto" w:fill="auto"/>
        </w:rPr>
        <w:t>制得。俗称</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白籽仁</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滇皂角米</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“梁河滇</w:t>
      </w:r>
      <w:r>
        <w:rPr>
          <w:rFonts w:hint="eastAsia" w:ascii="仿宋_GB2312" w:hAnsi="仿宋_GB2312" w:eastAsia="仿宋_GB2312" w:cs="仿宋_GB2312"/>
          <w:color w:val="auto"/>
          <w:sz w:val="32"/>
          <w:szCs w:val="32"/>
          <w:highlight w:val="none"/>
          <w:shd w:val="clear" w:color="auto" w:fill="auto"/>
        </w:rPr>
        <w:t>皂</w:t>
      </w:r>
      <w:r>
        <w:rPr>
          <w:rFonts w:hint="eastAsia" w:ascii="仿宋_GB2312" w:hAnsi="仿宋_GB2312" w:eastAsia="仿宋_GB2312" w:cs="仿宋_GB2312"/>
          <w:color w:val="auto"/>
          <w:sz w:val="32"/>
          <w:szCs w:val="32"/>
          <w:highlight w:val="none"/>
          <w:shd w:val="clear" w:color="auto" w:fill="auto"/>
          <w:lang w:val="en-US" w:eastAsia="zh-CN"/>
        </w:rPr>
        <w:t>荚”</w:t>
      </w:r>
      <w:r>
        <w:rPr>
          <w:rFonts w:hint="eastAsia" w:ascii="仿宋_GB2312" w:hAnsi="仿宋_GB2312" w:eastAsia="仿宋_GB2312" w:cs="仿宋_GB2312"/>
          <w:color w:val="auto"/>
          <w:sz w:val="32"/>
          <w:szCs w:val="32"/>
          <w:highlight w:val="none"/>
          <w:shd w:val="clear" w:color="auto" w:fill="auto"/>
        </w:rPr>
        <w:t>，是</w:t>
      </w:r>
      <w:r>
        <w:rPr>
          <w:rFonts w:hint="eastAsia" w:ascii="仿宋_GB2312" w:hAnsi="仿宋_GB2312" w:eastAsia="仿宋_GB2312" w:cs="仿宋_GB2312"/>
          <w:color w:val="auto"/>
          <w:sz w:val="32"/>
          <w:szCs w:val="32"/>
          <w:highlight w:val="none"/>
          <w:shd w:val="clear" w:color="auto" w:fill="auto"/>
          <w:lang w:val="en-US" w:eastAsia="zh-CN"/>
        </w:rPr>
        <w:t>云南</w:t>
      </w:r>
      <w:r>
        <w:rPr>
          <w:rFonts w:hint="eastAsia" w:ascii="仿宋_GB2312" w:hAnsi="仿宋_GB2312" w:eastAsia="仿宋_GB2312" w:cs="仿宋_GB2312"/>
          <w:color w:val="auto"/>
          <w:sz w:val="32"/>
          <w:szCs w:val="32"/>
          <w:highlight w:val="none"/>
          <w:shd w:val="clear" w:color="auto" w:fill="auto"/>
        </w:rPr>
        <w:t>特有的传统美食。</w:t>
      </w:r>
      <w:r>
        <w:rPr>
          <w:rFonts w:hint="eastAsia" w:ascii="仿宋_GB2312" w:hAnsi="仿宋_GB2312" w:eastAsia="仿宋_GB2312" w:cs="仿宋_GB2312"/>
          <w:color w:val="auto"/>
          <w:sz w:val="32"/>
          <w:szCs w:val="32"/>
          <w:highlight w:val="none"/>
          <w:shd w:val="clear" w:color="auto" w:fill="auto"/>
          <w:lang w:val="en-US" w:eastAsia="zh-CN"/>
        </w:rPr>
        <w:t>其</w:t>
      </w:r>
      <w:r>
        <w:rPr>
          <w:rFonts w:hint="eastAsia" w:ascii="仿宋_GB2312" w:hAnsi="仿宋_GB2312" w:eastAsia="仿宋_GB2312" w:cs="仿宋_GB2312"/>
          <w:color w:val="auto"/>
          <w:sz w:val="32"/>
          <w:szCs w:val="32"/>
          <w:highlight w:val="none"/>
          <w:shd w:val="clear" w:color="auto" w:fill="auto"/>
        </w:rPr>
        <w:t>口感细腻、幼滑，为宴会甜食佳品</w:t>
      </w:r>
      <w:r>
        <w:rPr>
          <w:rFonts w:hint="eastAsia" w:ascii="仿宋_GB2312" w:hAnsi="仿宋_GB2312" w:eastAsia="仿宋_GB2312" w:cs="仿宋_GB2312"/>
          <w:color w:val="auto"/>
          <w:sz w:val="32"/>
          <w:szCs w:val="32"/>
          <w:highlight w:val="none"/>
          <w:shd w:val="clear" w:color="auto" w:fill="auto"/>
          <w:lang w:eastAsia="zh-CN"/>
        </w:rPr>
        <w:t>，具</w:t>
      </w:r>
      <w:r>
        <w:rPr>
          <w:rFonts w:hint="eastAsia" w:ascii="仿宋_GB2312" w:hAnsi="仿宋_GB2312" w:eastAsia="仿宋_GB2312" w:cs="仿宋_GB2312"/>
          <w:color w:val="auto"/>
          <w:sz w:val="32"/>
          <w:szCs w:val="32"/>
          <w:highlight w:val="none"/>
          <w:shd w:val="clear" w:color="auto" w:fill="auto"/>
        </w:rPr>
        <w:t>有消积化食、开胃、补肾、润肺、明目、利尿、提神补气等功效，被誉为</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植物燕窝</w:t>
      </w:r>
      <w:r>
        <w:rPr>
          <w:rFonts w:hint="eastAsia" w:ascii="仿宋_GB2312" w:hAnsi="仿宋_GB2312" w:eastAsia="仿宋_GB2312" w:cs="仿宋_GB2312"/>
          <w:color w:val="auto"/>
          <w:sz w:val="32"/>
          <w:szCs w:val="32"/>
          <w:highlight w:val="none"/>
          <w:shd w:val="clear" w:color="auto" w:fill="auto"/>
          <w:lang w:eastAsia="zh-CN"/>
        </w:rPr>
        <w:t>”。</w:t>
      </w:r>
    </w:p>
    <w:p>
      <w:pPr>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pacing w:val="0"/>
          <w:sz w:val="32"/>
          <w:szCs w:val="32"/>
          <w:highlight w:val="none"/>
          <w:shd w:val="clear" w:color="auto" w:fill="auto"/>
          <w:lang w:eastAsia="zh-CN"/>
        </w:rPr>
        <w:t>根据《梁河县志（1978-2005）》记载“二十世纪20年代，梁河县开始零星种植滇皂荚”，迄今有100多年的种植历史。梁河县现存最古老滇皂荚树龄已逾180年。</w:t>
      </w:r>
      <w:r>
        <w:rPr>
          <w:rFonts w:hint="eastAsia" w:ascii="仿宋_GB2312" w:hAnsi="仿宋_GB2312" w:eastAsia="仿宋_GB2312" w:cs="仿宋_GB2312"/>
          <w:color w:val="auto"/>
          <w:sz w:val="32"/>
          <w:szCs w:val="32"/>
          <w:highlight w:val="none"/>
          <w:shd w:val="clear" w:color="auto" w:fill="auto"/>
          <w:lang w:val="en-US" w:eastAsia="zh-CN"/>
        </w:rPr>
        <w:t>2025年1月6日，国家卫生健康委员会根据新食品原料专家评审委员会对梁河县林业和草原局营林工作站申报的“梁河滇皂荚”新食品原料评审结论，作出“终止审查”决定，理由为：“鉴于该产品具有地方传统食用习惯，按照《食品安全法》第29条管理”。目前没有全国统一的滇皂荚米食品安全标准，消费者对滇皂荚米食品安全需求难以保障。制定滇皂荚米食品安全地方标准，规范加工生产技术，对提高产品质量，使滇皂荚米作为食品材料进入全国统一市场销售，满足消费者对食品安全需求，推动云南高原特色产业发展，助推乡村振兴具有重要意义。</w:t>
      </w:r>
      <w:bookmarkStart w:id="46" w:name="_GoBack"/>
      <w:bookmarkEnd w:id="46"/>
    </w:p>
    <w:bookmarkEnd w:id="19"/>
    <w:bookmarkEnd w:id="20"/>
    <w:bookmarkEnd w:id="21"/>
    <w:p>
      <w:pPr>
        <w:keepNext w:val="0"/>
        <w:keepLines w:val="0"/>
        <w:pageBreakBefore w:val="0"/>
        <w:widowControl w:val="0"/>
        <w:kinsoku/>
        <w:wordWrap/>
        <w:overflowPunct/>
        <w:topLinePunct w:val="0"/>
        <w:autoSpaceDE/>
        <w:autoSpaceDN/>
        <w:bidi w:val="0"/>
        <w:adjustRightInd w:val="0"/>
        <w:snapToGrid/>
        <w:spacing w:beforeLines="0" w:afterLines="0" w:line="360" w:lineRule="auto"/>
        <w:ind w:firstLine="640" w:firstLineChars="200"/>
        <w:jc w:val="both"/>
        <w:textAlignment w:val="auto"/>
        <w:outlineLvl w:val="0"/>
        <w:rPr>
          <w:rFonts w:hint="eastAsia" w:ascii="黑体" w:hAnsi="黑体" w:eastAsia="黑体" w:cs="黑体"/>
          <w:b w:val="0"/>
          <w:bCs/>
          <w:color w:val="000000" w:themeColor="text1"/>
          <w:kern w:val="0"/>
          <w:sz w:val="32"/>
          <w:szCs w:val="32"/>
          <w:highlight w:val="none"/>
          <w14:textFill>
            <w14:solidFill>
              <w14:schemeClr w14:val="tx1"/>
            </w14:solidFill>
          </w14:textFill>
        </w:rPr>
      </w:pPr>
      <w:bookmarkStart w:id="23" w:name="_Toc31194"/>
      <w:bookmarkStart w:id="24" w:name="_Toc28280"/>
      <w:r>
        <w:rPr>
          <w:rFonts w:hint="eastAsia" w:ascii="黑体" w:hAnsi="黑体" w:eastAsia="黑体" w:cs="黑体"/>
          <w:b w:val="0"/>
          <w:bCs/>
          <w:color w:val="000000" w:themeColor="text1"/>
          <w:kern w:val="0"/>
          <w:sz w:val="32"/>
          <w:szCs w:val="32"/>
          <w:highlight w:val="none"/>
          <w:lang w:val="en-US" w:eastAsia="zh-CN"/>
          <w14:textFill>
            <w14:solidFill>
              <w14:schemeClr w14:val="tx1"/>
            </w14:solidFill>
          </w14:textFill>
        </w:rPr>
        <w:t>三、</w:t>
      </w:r>
      <w:r>
        <w:rPr>
          <w:rFonts w:hint="eastAsia" w:ascii="黑体" w:hAnsi="黑体" w:eastAsia="黑体" w:cs="黑体"/>
          <w:b w:val="0"/>
          <w:bCs/>
          <w:color w:val="000000" w:themeColor="text1"/>
          <w:kern w:val="0"/>
          <w:sz w:val="32"/>
          <w:szCs w:val="32"/>
          <w:highlight w:val="none"/>
          <w14:textFill>
            <w14:solidFill>
              <w14:schemeClr w14:val="tx1"/>
            </w14:solidFill>
          </w14:textFill>
        </w:rPr>
        <w:t>主要起草过程</w:t>
      </w:r>
      <w:bookmarkEnd w:id="23"/>
      <w:bookmarkEnd w:id="24"/>
    </w:p>
    <w:p>
      <w:pPr>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rPr>
      </w:pPr>
      <w:bookmarkStart w:id="25" w:name="_Hlk165271411"/>
      <w:r>
        <w:rPr>
          <w:rFonts w:hint="eastAsia" w:ascii="仿宋_GB2312" w:hAnsi="仿宋_GB2312" w:eastAsia="仿宋_GB2312" w:cs="仿宋_GB2312"/>
          <w:b w:val="0"/>
          <w:color w:val="auto"/>
          <w:sz w:val="32"/>
          <w:szCs w:val="32"/>
          <w:highlight w:val="none"/>
        </w:rPr>
        <w:t>接到《项目任务书》后，</w:t>
      </w:r>
      <w:r>
        <w:rPr>
          <w:rFonts w:hint="eastAsia" w:ascii="仿宋_GB2312" w:hAnsi="仿宋_GB2312" w:eastAsia="仿宋_GB2312" w:cs="仿宋_GB2312"/>
          <w:color w:val="auto"/>
          <w:sz w:val="32"/>
          <w:szCs w:val="32"/>
          <w:highlight w:val="none"/>
          <w:shd w:val="clear" w:color="auto" w:fill="auto"/>
          <w:lang w:val="en-US" w:eastAsia="zh-CN"/>
        </w:rPr>
        <w:t>梁河县林业和草原局营林工作站联合协作单位成立了</w:t>
      </w:r>
      <w:r>
        <w:rPr>
          <w:rFonts w:hint="eastAsia" w:ascii="仿宋_GB2312" w:hAnsi="仿宋_GB2312" w:eastAsia="仿宋_GB2312" w:cs="仿宋_GB2312"/>
          <w:color w:val="auto"/>
          <w:sz w:val="32"/>
          <w:szCs w:val="32"/>
          <w:highlight w:val="none"/>
          <w:shd w:val="clear" w:color="auto" w:fill="auto"/>
        </w:rPr>
        <w:t xml:space="preserve">《云南省食品安全地方标准 </w:t>
      </w:r>
      <w:r>
        <w:rPr>
          <w:rFonts w:hint="eastAsia" w:ascii="仿宋_GB2312" w:hAnsi="仿宋_GB2312" w:eastAsia="仿宋_GB2312" w:cs="仿宋_GB2312"/>
          <w:color w:val="auto"/>
          <w:sz w:val="32"/>
          <w:szCs w:val="32"/>
          <w:highlight w:val="none"/>
          <w:shd w:val="clear" w:color="auto" w:fill="auto"/>
          <w:lang w:val="en-US" w:eastAsia="zh-CN"/>
        </w:rPr>
        <w:t>滇皂荚米</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val="en-US" w:eastAsia="zh-CN"/>
        </w:rPr>
        <w:t>标准起草组</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b w:val="0"/>
          <w:color w:val="auto"/>
          <w:sz w:val="32"/>
          <w:szCs w:val="32"/>
          <w:highlight w:val="none"/>
        </w:rPr>
        <w:t>明确工作内容、工作组成员、任务分工和进度计划。对国内相关政策法规、标准进行收集、整理和分析研究，确定了标准制定的工作方案。标准起草组按照方案执行，分别到</w:t>
      </w:r>
      <w:r>
        <w:rPr>
          <w:rFonts w:hint="eastAsia" w:ascii="仿宋_GB2312" w:hAnsi="仿宋_GB2312" w:eastAsia="仿宋_GB2312" w:cs="仿宋_GB2312"/>
          <w:b w:val="0"/>
          <w:color w:val="auto"/>
          <w:sz w:val="32"/>
          <w:szCs w:val="32"/>
          <w:highlight w:val="none"/>
          <w:lang w:val="en-US" w:eastAsia="zh-CN"/>
        </w:rPr>
        <w:t>保山市腾冲市</w:t>
      </w:r>
      <w:r>
        <w:rPr>
          <w:rFonts w:hint="eastAsia" w:ascii="仿宋_GB2312" w:hAnsi="仿宋_GB2312" w:eastAsia="仿宋_GB2312" w:cs="仿宋_GB2312"/>
          <w:b w:val="0"/>
          <w:color w:val="auto"/>
          <w:sz w:val="32"/>
          <w:szCs w:val="32"/>
          <w:highlight w:val="none"/>
        </w:rPr>
        <w:t>、</w:t>
      </w:r>
      <w:r>
        <w:rPr>
          <w:rFonts w:hint="eastAsia" w:ascii="仿宋_GB2312" w:hAnsi="仿宋_GB2312" w:eastAsia="仿宋_GB2312" w:cs="仿宋_GB2312"/>
          <w:b w:val="0"/>
          <w:color w:val="auto"/>
          <w:sz w:val="32"/>
          <w:szCs w:val="32"/>
          <w:highlight w:val="none"/>
          <w:lang w:val="en-US" w:eastAsia="zh-CN"/>
        </w:rPr>
        <w:t>德宏州芒市</w:t>
      </w:r>
      <w:r>
        <w:rPr>
          <w:rFonts w:hint="eastAsia" w:ascii="仿宋_GB2312" w:hAnsi="仿宋_GB2312" w:eastAsia="仿宋_GB2312" w:cs="仿宋_GB2312"/>
          <w:b w:val="0"/>
          <w:color w:val="auto"/>
          <w:sz w:val="32"/>
          <w:szCs w:val="32"/>
          <w:highlight w:val="none"/>
        </w:rPr>
        <w:t>、</w:t>
      </w:r>
      <w:r>
        <w:rPr>
          <w:rFonts w:hint="eastAsia" w:ascii="仿宋_GB2312" w:hAnsi="仿宋_GB2312" w:eastAsia="仿宋_GB2312" w:cs="仿宋_GB2312"/>
          <w:b w:val="0"/>
          <w:color w:val="auto"/>
          <w:sz w:val="32"/>
          <w:szCs w:val="32"/>
          <w:highlight w:val="none"/>
          <w:lang w:val="en-US" w:eastAsia="zh-CN"/>
        </w:rPr>
        <w:t>梁河县</w:t>
      </w:r>
      <w:r>
        <w:rPr>
          <w:rFonts w:hint="eastAsia" w:ascii="仿宋_GB2312" w:hAnsi="仿宋_GB2312" w:eastAsia="仿宋_GB2312" w:cs="仿宋_GB2312"/>
          <w:b w:val="0"/>
          <w:color w:val="auto"/>
          <w:sz w:val="32"/>
          <w:szCs w:val="32"/>
          <w:highlight w:val="none"/>
        </w:rPr>
        <w:t>等</w:t>
      </w:r>
      <w:r>
        <w:rPr>
          <w:rFonts w:hint="eastAsia" w:ascii="仿宋_GB2312" w:hAnsi="仿宋_GB2312" w:eastAsia="仿宋_GB2312" w:cs="仿宋_GB2312"/>
          <w:b w:val="0"/>
          <w:color w:val="auto"/>
          <w:sz w:val="32"/>
          <w:szCs w:val="32"/>
          <w:highlight w:val="none"/>
          <w:lang w:val="en-US" w:eastAsia="zh-CN"/>
        </w:rPr>
        <w:t>地滇皂荚</w:t>
      </w:r>
      <w:r>
        <w:rPr>
          <w:rFonts w:hint="eastAsia" w:ascii="仿宋_GB2312" w:hAnsi="仿宋_GB2312" w:eastAsia="仿宋_GB2312" w:cs="仿宋_GB2312"/>
          <w:b w:val="0"/>
          <w:color w:val="auto"/>
          <w:sz w:val="32"/>
          <w:szCs w:val="32"/>
          <w:highlight w:val="none"/>
        </w:rPr>
        <w:t>生产主产区进行调研，现场查看</w:t>
      </w:r>
      <w:r>
        <w:rPr>
          <w:rFonts w:hint="eastAsia" w:ascii="仿宋_GB2312" w:hAnsi="仿宋_GB2312" w:eastAsia="仿宋_GB2312" w:cs="仿宋_GB2312"/>
          <w:b w:val="0"/>
          <w:color w:val="auto"/>
          <w:sz w:val="32"/>
          <w:szCs w:val="32"/>
          <w:highlight w:val="none"/>
          <w:lang w:val="en-US" w:eastAsia="zh-CN"/>
        </w:rPr>
        <w:t>滇皂荚米</w:t>
      </w:r>
      <w:r>
        <w:rPr>
          <w:rFonts w:hint="eastAsia" w:ascii="仿宋_GB2312" w:hAnsi="仿宋_GB2312" w:eastAsia="仿宋_GB2312" w:cs="仿宋_GB2312"/>
          <w:b w:val="0"/>
          <w:color w:val="auto"/>
          <w:sz w:val="32"/>
          <w:szCs w:val="32"/>
          <w:highlight w:val="none"/>
        </w:rPr>
        <w:t>的生产过程，了解生产的关键控制点；并采集样品及时检测和数据分析，形成了标准初稿，经多次讨论和征求</w:t>
      </w:r>
      <w:r>
        <w:rPr>
          <w:rFonts w:hint="eastAsia" w:ascii="仿宋_GB2312" w:hAnsi="仿宋_GB2312" w:eastAsia="仿宋_GB2312" w:cs="仿宋_GB2312"/>
          <w:b w:val="0"/>
          <w:color w:val="auto"/>
          <w:sz w:val="32"/>
          <w:szCs w:val="32"/>
          <w:highlight w:val="none"/>
          <w:lang w:val="en-US" w:eastAsia="zh-CN"/>
        </w:rPr>
        <w:t>相关单位、</w:t>
      </w:r>
      <w:r>
        <w:rPr>
          <w:rFonts w:hint="eastAsia" w:ascii="仿宋_GB2312" w:hAnsi="仿宋_GB2312" w:eastAsia="仿宋_GB2312" w:cs="仿宋_GB2312"/>
          <w:b w:val="0"/>
          <w:color w:val="auto"/>
          <w:sz w:val="32"/>
          <w:szCs w:val="32"/>
          <w:highlight w:val="none"/>
        </w:rPr>
        <w:t>专家意见后形成标准送审稿。</w:t>
      </w:r>
    </w:p>
    <w:bookmarkEnd w:id="25"/>
    <w:p>
      <w:pPr>
        <w:pStyle w:val="15"/>
        <w:numPr>
          <w:ilvl w:val="0"/>
          <w:numId w:val="0"/>
        </w:numPr>
        <w:adjustRightInd/>
        <w:ind w:firstLine="602"/>
        <w:rPr>
          <w:rFonts w:hint="eastAsia" w:ascii="宋体" w:hAnsi="宋体" w:eastAsia="宋体" w:cs="宋体"/>
          <w:b/>
          <w:bCs w:val="0"/>
          <w:color w:val="000000" w:themeColor="text1"/>
          <w:kern w:val="0"/>
          <w:sz w:val="32"/>
          <w:szCs w:val="32"/>
          <w:highlight w:val="none"/>
          <w:lang w:val="en-US" w:eastAsia="zh-CN" w:bidi="ar-SA"/>
          <w14:textFill>
            <w14:solidFill>
              <w14:schemeClr w14:val="tx1"/>
            </w14:solidFill>
          </w14:textFill>
        </w:rPr>
      </w:pPr>
      <w:bookmarkStart w:id="26" w:name="_Toc72460620"/>
      <w:bookmarkStart w:id="27" w:name="_Toc29244"/>
      <w:bookmarkStart w:id="28" w:name="_Toc72460130"/>
      <w:bookmarkStart w:id="29" w:name="_Toc31311"/>
      <w:r>
        <w:rPr>
          <w:rFonts w:hint="eastAsia" w:ascii="宋体" w:hAnsi="宋体" w:cs="宋体"/>
          <w:b/>
          <w:bCs w:val="0"/>
          <w:color w:val="000000" w:themeColor="text1"/>
          <w:kern w:val="0"/>
          <w:sz w:val="32"/>
          <w:szCs w:val="32"/>
          <w:highlight w:val="none"/>
          <w:lang w:val="en-US" w:eastAsia="zh-CN" w:bidi="ar-SA"/>
          <w14:textFill>
            <w14:solidFill>
              <w14:schemeClr w14:val="tx1"/>
            </w14:solidFill>
          </w14:textFill>
        </w:rPr>
        <w:t>四、</w:t>
      </w:r>
      <w:r>
        <w:rPr>
          <w:rFonts w:hint="eastAsia" w:ascii="宋体" w:hAnsi="宋体" w:eastAsia="宋体" w:cs="宋体"/>
          <w:b/>
          <w:bCs w:val="0"/>
          <w:color w:val="000000" w:themeColor="text1"/>
          <w:kern w:val="0"/>
          <w:sz w:val="32"/>
          <w:szCs w:val="32"/>
          <w:highlight w:val="none"/>
          <w:lang w:val="en-US" w:eastAsia="zh-CN" w:bidi="ar-SA"/>
          <w14:textFill>
            <w14:solidFill>
              <w14:schemeClr w14:val="tx1"/>
            </w14:solidFill>
          </w14:textFill>
        </w:rPr>
        <w:t>制（修）订标准的原则和依据，与现行</w:t>
      </w:r>
      <w:r>
        <w:rPr>
          <w:rFonts w:hint="eastAsia" w:ascii="宋体" w:hAnsi="宋体" w:cs="宋体"/>
          <w:b/>
          <w:bCs w:val="0"/>
          <w:color w:val="000000" w:themeColor="text1"/>
          <w:kern w:val="0"/>
          <w:sz w:val="32"/>
          <w:szCs w:val="32"/>
          <w:highlight w:val="none"/>
          <w:lang w:val="en-US" w:eastAsia="zh-CN" w:bidi="ar-SA"/>
          <w14:textFill>
            <w14:solidFill>
              <w14:schemeClr w14:val="tx1"/>
            </w14:solidFill>
          </w14:textFill>
        </w:rPr>
        <w:t>法律法规</w:t>
      </w:r>
      <w:r>
        <w:rPr>
          <w:rFonts w:hint="eastAsia" w:ascii="宋体" w:hAnsi="宋体" w:eastAsia="宋体" w:cs="宋体"/>
          <w:b/>
          <w:bCs w:val="0"/>
          <w:color w:val="000000" w:themeColor="text1"/>
          <w:kern w:val="0"/>
          <w:sz w:val="32"/>
          <w:szCs w:val="32"/>
          <w:highlight w:val="none"/>
          <w:lang w:val="en-US" w:eastAsia="zh-CN" w:bidi="ar-SA"/>
          <w14:textFill>
            <w14:solidFill>
              <w14:schemeClr w14:val="tx1"/>
            </w14:solidFill>
          </w14:textFill>
        </w:rPr>
        <w:t>、标准的关系</w:t>
      </w:r>
      <w:bookmarkEnd w:id="26"/>
      <w:bookmarkEnd w:id="27"/>
      <w:bookmarkEnd w:id="28"/>
      <w:bookmarkEnd w:id="29"/>
      <w:bookmarkStart w:id="30" w:name="_Toc72460131"/>
      <w:bookmarkStart w:id="31" w:name="_Toc72460621"/>
    </w:p>
    <w:p>
      <w:pPr>
        <w:keepNext/>
        <w:keepLines w:val="0"/>
        <w:widowControl/>
        <w:numPr>
          <w:ilvl w:val="0"/>
          <w:numId w:val="0"/>
        </w:numPr>
        <w:adjustRightInd/>
        <w:snapToGrid/>
        <w:spacing w:beforeLines="0" w:afterLines="0" w:line="360" w:lineRule="auto"/>
        <w:ind w:firstLine="640" w:firstLineChars="200"/>
        <w:jc w:val="both"/>
        <w:outlineLvl w:val="1"/>
        <w:rPr>
          <w:rFonts w:hint="eastAsia" w:ascii="楷体" w:hAnsi="楷体" w:eastAsia="楷体" w:cs="楷体"/>
          <w:b w:val="0"/>
          <w:bCs/>
          <w:color w:val="000000" w:themeColor="text1"/>
          <w:kern w:val="0"/>
          <w:sz w:val="32"/>
          <w:szCs w:val="32"/>
          <w:highlight w:val="none"/>
          <w:lang w:val="en-US" w:eastAsia="zh-CN" w:bidi="ar-SA"/>
          <w14:textFill>
            <w14:solidFill>
              <w14:schemeClr w14:val="tx1"/>
            </w14:solidFill>
          </w14:textFill>
        </w:rPr>
      </w:pPr>
      <w:r>
        <w:rPr>
          <w:rFonts w:hint="eastAsia" w:ascii="楷体" w:hAnsi="楷体" w:eastAsia="楷体" w:cs="楷体"/>
          <w:b w:val="0"/>
          <w:bCs/>
          <w:color w:val="000000" w:themeColor="text1"/>
          <w:kern w:val="0"/>
          <w:sz w:val="32"/>
          <w:szCs w:val="32"/>
          <w:highlight w:val="none"/>
          <w:lang w:val="en-US" w:eastAsia="zh-CN" w:bidi="ar-SA"/>
          <w14:textFill>
            <w14:solidFill>
              <w14:schemeClr w14:val="tx1"/>
            </w14:solidFill>
          </w14:textFill>
        </w:rPr>
        <w:t>（一）制订标准的原则</w:t>
      </w:r>
      <w:bookmarkEnd w:id="30"/>
      <w:bookmarkEnd w:id="31"/>
    </w:p>
    <w:p>
      <w:pPr>
        <w:widowControl/>
        <w:adjustRightInd/>
        <w:snapToGrid/>
        <w:spacing w:beforeLines="-2147483648" w:afterLines="-2147483648" w:line="360" w:lineRule="auto"/>
        <w:ind w:firstLine="640" w:firstLineChars="200"/>
        <w:jc w:val="both"/>
        <w:outlineLvl w:val="9"/>
        <w:rPr>
          <w:rFonts w:hint="eastAsia" w:ascii="仿宋_GB2312" w:hAnsi="仿宋_GB2312" w:eastAsia="仿宋_GB2312" w:cs="仿宋_GB2312"/>
          <w:b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14:textFill>
            <w14:solidFill>
              <w14:schemeClr w14:val="tx1"/>
            </w14:solidFill>
          </w14:textFill>
        </w:rPr>
        <w:t>本标准严格</w:t>
      </w:r>
      <w:r>
        <w:rPr>
          <w:rFonts w:hint="eastAsia" w:ascii="仿宋_GB2312" w:hAnsi="仿宋_GB2312" w:eastAsia="仿宋_GB2312" w:cs="仿宋_GB2312"/>
          <w:b w:val="0"/>
          <w:color w:val="000000" w:themeColor="text1"/>
          <w:sz w:val="32"/>
          <w:szCs w:val="32"/>
          <w:highlight w:val="none"/>
          <w:lang w:val="en-US" w:eastAsia="zh-CN"/>
          <w14:textFill>
            <w14:solidFill>
              <w14:schemeClr w14:val="tx1"/>
            </w14:solidFill>
          </w14:textFill>
        </w:rPr>
        <w:t>参照</w:t>
      </w:r>
      <w:r>
        <w:rPr>
          <w:rFonts w:hint="eastAsia" w:ascii="仿宋_GB2312" w:hAnsi="仿宋_GB2312" w:eastAsia="仿宋_GB2312" w:cs="仿宋_GB2312"/>
          <w:b w:val="0"/>
          <w:color w:val="000000" w:themeColor="text1"/>
          <w:sz w:val="32"/>
          <w:szCs w:val="32"/>
          <w:highlight w:val="none"/>
          <w14:textFill>
            <w14:solidFill>
              <w14:schemeClr w14:val="tx1"/>
            </w14:solidFill>
          </w14:textFill>
        </w:rPr>
        <w:t>GB/T 1.1-2020《标准化工作导则 第1部分：标准化文件的结构和起草规则》给出的规则进行起草，</w:t>
      </w:r>
      <w:r>
        <w:rPr>
          <w:rFonts w:hint="eastAsia" w:ascii="仿宋_GB2312" w:hAnsi="仿宋_GB2312" w:eastAsia="仿宋_GB2312" w:cs="仿宋_GB2312"/>
          <w:b w:val="0"/>
          <w:color w:val="000000" w:themeColor="text1"/>
          <w:sz w:val="32"/>
          <w:szCs w:val="32"/>
          <w:highlight w:val="none"/>
          <w:lang w:val="en-US" w:eastAsia="zh-CN"/>
          <w14:textFill>
            <w14:solidFill>
              <w14:schemeClr w14:val="tx1"/>
            </w14:solidFill>
          </w14:textFill>
        </w:rPr>
        <w:t>并遵循</w:t>
      </w:r>
      <w:r>
        <w:rPr>
          <w:rFonts w:hint="eastAsia" w:ascii="仿宋_GB2312" w:hAnsi="仿宋_GB2312" w:eastAsia="仿宋_GB2312" w:cs="仿宋_GB2312"/>
          <w:b w:val="0"/>
          <w:color w:val="000000" w:themeColor="text1"/>
          <w:sz w:val="32"/>
          <w:szCs w:val="32"/>
          <w:highlight w:val="none"/>
          <w14:textFill>
            <w14:solidFill>
              <w14:schemeClr w14:val="tx1"/>
            </w14:solidFill>
          </w14:textFill>
        </w:rPr>
        <w:t>科学性、协调性、适用性</w:t>
      </w:r>
      <w:r>
        <w:rPr>
          <w:rFonts w:hint="eastAsia" w:ascii="仿宋_GB2312" w:hAnsi="仿宋_GB2312" w:eastAsia="仿宋_GB2312" w:cs="仿宋_GB2312"/>
          <w:b w:val="0"/>
          <w:color w:val="000000" w:themeColor="text1"/>
          <w:sz w:val="32"/>
          <w:szCs w:val="32"/>
          <w:highlight w:val="none"/>
          <w:lang w:val="en-US" w:eastAsia="zh-CN"/>
          <w14:textFill>
            <w14:solidFill>
              <w14:schemeClr w14:val="tx1"/>
            </w14:solidFill>
          </w14:textFill>
        </w:rPr>
        <w:t>原则</w:t>
      </w:r>
      <w:r>
        <w:rPr>
          <w:rFonts w:hint="eastAsia" w:ascii="仿宋_GB2312" w:hAnsi="仿宋_GB2312" w:eastAsia="仿宋_GB2312" w:cs="仿宋_GB2312"/>
          <w:b w:val="0"/>
          <w:color w:val="000000" w:themeColor="text1"/>
          <w:sz w:val="32"/>
          <w:szCs w:val="32"/>
          <w:highlight w:val="none"/>
          <w14:textFill>
            <w14:solidFill>
              <w14:schemeClr w14:val="tx1"/>
            </w14:solidFill>
          </w14:textFill>
        </w:rPr>
        <w:t>。</w:t>
      </w:r>
    </w:p>
    <w:p>
      <w:pPr>
        <w:keepNext/>
        <w:keepLines w:val="0"/>
        <w:pageBreakBefore w:val="0"/>
        <w:widowControl/>
        <w:numPr>
          <w:ilvl w:val="0"/>
          <w:numId w:val="0"/>
        </w:numPr>
        <w:kinsoku/>
        <w:wordWrap/>
        <w:overflowPunct/>
        <w:topLinePunct w:val="0"/>
        <w:autoSpaceDE/>
        <w:autoSpaceDN/>
        <w:bidi w:val="0"/>
        <w:adjustRightInd/>
        <w:snapToGrid/>
        <w:spacing w:beforeLines="0" w:afterLines="0" w:line="360" w:lineRule="auto"/>
        <w:ind w:firstLine="640" w:firstLineChars="200"/>
        <w:jc w:val="both"/>
        <w:textAlignment w:val="auto"/>
        <w:outlineLvl w:val="1"/>
        <w:rPr>
          <w:rFonts w:hint="eastAsia" w:ascii="楷体" w:hAnsi="楷体" w:eastAsia="楷体" w:cs="楷体"/>
          <w:b w:val="0"/>
          <w:bCs/>
          <w:color w:val="000000" w:themeColor="text1"/>
          <w:kern w:val="0"/>
          <w:sz w:val="32"/>
          <w:szCs w:val="32"/>
          <w:highlight w:val="none"/>
          <w:lang w:val="en-US" w:eastAsia="zh-CN" w:bidi="ar-SA"/>
          <w14:textFill>
            <w14:solidFill>
              <w14:schemeClr w14:val="tx1"/>
            </w14:solidFill>
          </w14:textFill>
        </w:rPr>
      </w:pPr>
      <w:r>
        <w:rPr>
          <w:rFonts w:hint="eastAsia" w:ascii="楷体" w:hAnsi="楷体" w:eastAsia="楷体" w:cs="楷体"/>
          <w:b w:val="0"/>
          <w:bCs/>
          <w:color w:val="000000" w:themeColor="text1"/>
          <w:kern w:val="0"/>
          <w:sz w:val="32"/>
          <w:szCs w:val="32"/>
          <w:highlight w:val="none"/>
          <w:lang w:val="en-US" w:eastAsia="zh-CN" w:bidi="ar-SA"/>
          <w14:textFill>
            <w14:solidFill>
              <w14:schemeClr w14:val="tx1"/>
            </w14:solidFill>
          </w14:textFill>
        </w:rPr>
        <w:t>（二）与现行法律法规和其他标准的关系</w:t>
      </w:r>
    </w:p>
    <w:p>
      <w:pPr>
        <w:keepNext w:val="0"/>
        <w:keepLines w:val="0"/>
        <w:pageBreakBefore w:val="0"/>
        <w:widowControl/>
        <w:numPr>
          <w:ilvl w:val="-1"/>
          <w:numId w:val="0"/>
        </w:numPr>
        <w:kinsoku/>
        <w:wordWrap/>
        <w:overflowPunct/>
        <w:topLinePunct w:val="0"/>
        <w:autoSpaceDE/>
        <w:autoSpaceDN/>
        <w:bidi w:val="0"/>
        <w:adjustRightInd/>
        <w:snapToGrid/>
        <w:spacing w:beforeLines="-2147483648" w:afterLines="-2147483648" w:line="240" w:lineRule="auto"/>
        <w:ind w:firstLine="640" w:firstLineChars="200"/>
        <w:jc w:val="both"/>
        <w:textAlignment w:val="auto"/>
        <w:outlineLvl w:val="9"/>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color w:val="auto"/>
          <w:sz w:val="32"/>
          <w:szCs w:val="32"/>
          <w:highlight w:val="none"/>
        </w:rPr>
        <w:t>与现行</w:t>
      </w:r>
      <w:r>
        <w:rPr>
          <w:rFonts w:hint="eastAsia" w:ascii="仿宋_GB2312" w:hAnsi="仿宋_GB2312" w:eastAsia="仿宋_GB2312" w:cs="仿宋_GB2312"/>
          <w:b w:val="0"/>
          <w:color w:val="auto"/>
          <w:sz w:val="32"/>
          <w:szCs w:val="32"/>
          <w:highlight w:val="none"/>
          <w:lang w:eastAsia="zh-CN"/>
        </w:rPr>
        <w:t>法律法规</w:t>
      </w:r>
      <w:r>
        <w:rPr>
          <w:rFonts w:hint="eastAsia" w:ascii="仿宋_GB2312" w:hAnsi="仿宋_GB2312" w:eastAsia="仿宋_GB2312" w:cs="仿宋_GB2312"/>
          <w:b w:val="0"/>
          <w:color w:val="auto"/>
          <w:sz w:val="32"/>
          <w:szCs w:val="32"/>
          <w:highlight w:val="none"/>
        </w:rPr>
        <w:t>和相关标准协调一致，无冲突。</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ind w:firstLine="640" w:firstLineChars="200"/>
        <w:jc w:val="both"/>
        <w:textAlignment w:val="auto"/>
        <w:outlineLvl w:val="0"/>
        <w:rPr>
          <w:rFonts w:hint="eastAsia" w:ascii="宋体" w:hAnsi="宋体" w:eastAsia="宋体" w:cs="宋体"/>
          <w:b/>
          <w:bCs w:val="0"/>
          <w:color w:val="000000" w:themeColor="text1"/>
          <w:kern w:val="0"/>
          <w:sz w:val="32"/>
          <w:szCs w:val="32"/>
          <w:highlight w:val="none"/>
          <w14:textFill>
            <w14:solidFill>
              <w14:schemeClr w14:val="tx1"/>
            </w14:solidFill>
          </w14:textFill>
        </w:rPr>
      </w:pPr>
      <w:bookmarkStart w:id="32" w:name="_Toc72460623"/>
      <w:bookmarkStart w:id="33" w:name="_Toc17277"/>
      <w:bookmarkStart w:id="34" w:name="_Toc6641"/>
      <w:bookmarkStart w:id="35" w:name="_Toc72461150"/>
      <w:bookmarkStart w:id="36" w:name="_Toc582"/>
      <w:bookmarkStart w:id="37" w:name="_Toc72460133"/>
      <w:r>
        <w:rPr>
          <w:rFonts w:hint="eastAsia" w:ascii="黑体" w:hAnsi="黑体" w:eastAsia="黑体" w:cs="黑体"/>
          <w:b w:val="0"/>
          <w:bCs/>
          <w:color w:val="000000" w:themeColor="text1"/>
          <w:kern w:val="0"/>
          <w:sz w:val="32"/>
          <w:szCs w:val="32"/>
          <w:highlight w:val="none"/>
          <w:lang w:val="en-US" w:eastAsia="zh-CN"/>
          <w14:textFill>
            <w14:solidFill>
              <w14:schemeClr w14:val="tx1"/>
            </w14:solidFill>
          </w14:textFill>
        </w:rPr>
        <w:t>五、</w:t>
      </w:r>
      <w:r>
        <w:rPr>
          <w:rFonts w:hint="eastAsia" w:ascii="黑体" w:hAnsi="黑体" w:eastAsia="黑体" w:cs="黑体"/>
          <w:b w:val="0"/>
          <w:bCs/>
          <w:color w:val="000000" w:themeColor="text1"/>
          <w:kern w:val="0"/>
          <w:sz w:val="32"/>
          <w:szCs w:val="32"/>
          <w:highlight w:val="none"/>
          <w14:textFill>
            <w14:solidFill>
              <w14:schemeClr w14:val="tx1"/>
            </w14:solidFill>
          </w14:textFill>
        </w:rPr>
        <w:t>主要条款的说明，主要技术指标、参数的论述</w:t>
      </w:r>
      <w:bookmarkEnd w:id="32"/>
      <w:bookmarkEnd w:id="33"/>
      <w:bookmarkEnd w:id="34"/>
      <w:bookmarkEnd w:id="35"/>
      <w:bookmarkEnd w:id="36"/>
      <w:bookmarkEnd w:id="37"/>
    </w:p>
    <w:p>
      <w:pPr>
        <w:keepNext/>
        <w:pageBreakBefore w:val="0"/>
        <w:widowControl/>
        <w:numPr>
          <w:ilvl w:val="0"/>
          <w:numId w:val="0"/>
        </w:numPr>
        <w:kinsoku/>
        <w:wordWrap/>
        <w:overflowPunct/>
        <w:topLinePunct w:val="0"/>
        <w:bidi w:val="0"/>
        <w:snapToGrid/>
        <w:spacing w:beforeLines="0" w:afterLines="0" w:line="360" w:lineRule="auto"/>
        <w:ind w:firstLine="640" w:firstLineChars="200"/>
        <w:jc w:val="both"/>
        <w:textAlignment w:val="auto"/>
        <w:outlineLvl w:val="1"/>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pPr>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（一） 适用范围</w:t>
      </w:r>
    </w:p>
    <w:p>
      <w:pPr>
        <w:numPr>
          <w:ilvl w:val="0"/>
          <w:numId w:val="0"/>
        </w:numPr>
        <w:autoSpaceDE/>
        <w:autoSpaceDN/>
        <w:spacing w:beforeLines="-2147483648" w:afterLines="-2147483648" w:line="240" w:lineRule="auto"/>
        <w:ind w:firstLine="640" w:firstLineChars="200"/>
        <w:jc w:val="both"/>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14:textFill>
            <w14:solidFill>
              <w14:schemeClr w14:val="tx1"/>
            </w14:solidFill>
          </w14:textFill>
        </w:rPr>
        <w:t>本</w:t>
      </w:r>
      <w:r>
        <w:rPr>
          <w:rFonts w:hint="eastAsia" w:ascii="仿宋_GB2312" w:hAnsi="仿宋_GB2312" w:eastAsia="仿宋_GB2312" w:cs="仿宋_GB2312"/>
          <w:color w:val="000000" w:themeColor="text1"/>
          <w:kern w:val="2"/>
          <w:sz w:val="32"/>
          <w:szCs w:val="32"/>
          <w:highlight w:val="none"/>
          <w:lang w:eastAsia="zh-CN"/>
          <w14:textFill>
            <w14:solidFill>
              <w14:schemeClr w14:val="tx1"/>
            </w14:solidFill>
          </w14:textFill>
        </w:rPr>
        <w:t>标准规定</w:t>
      </w:r>
      <w:r>
        <w:rPr>
          <w:rFonts w:hint="eastAsia" w:ascii="仿宋_GB2312" w:hAnsi="仿宋_GB2312" w:eastAsia="仿宋_GB2312" w:cs="仿宋_GB2312"/>
          <w:color w:val="000000" w:themeColor="text1"/>
          <w:kern w:val="2"/>
          <w:sz w:val="32"/>
          <w:szCs w:val="32"/>
          <w:highlight w:val="none"/>
          <w14:textFill>
            <w14:solidFill>
              <w14:schemeClr w14:val="tx1"/>
            </w14:solidFill>
          </w14:textFill>
        </w:rPr>
        <w:t>适用于</w:t>
      </w:r>
      <w:r>
        <w:rPr>
          <w:rFonts w:hint="eastAsia" w:ascii="仿宋_GB2312" w:hAnsi="仿宋_GB2312" w:eastAsia="仿宋_GB2312" w:cs="仿宋_GB2312"/>
          <w:color w:val="000000" w:themeColor="text1"/>
          <w:kern w:val="2"/>
          <w:sz w:val="32"/>
          <w:szCs w:val="32"/>
          <w:highlight w:val="none"/>
          <w:lang w:val="en-US" w:eastAsia="zh-CN"/>
          <w14:textFill>
            <w14:solidFill>
              <w14:schemeClr w14:val="tx1"/>
            </w14:solidFill>
          </w14:textFill>
        </w:rPr>
        <w:t>滇皂荚米生产</w:t>
      </w:r>
      <w:r>
        <w:rPr>
          <w:rFonts w:hint="eastAsia" w:ascii="仿宋_GB2312" w:hAnsi="仿宋_GB2312" w:eastAsia="仿宋_GB2312" w:cs="仿宋_GB2312"/>
          <w:color w:val="000000" w:themeColor="text1"/>
          <w:kern w:val="2"/>
          <w:sz w:val="32"/>
          <w:szCs w:val="32"/>
          <w:highlight w:val="none"/>
          <w14:textFill>
            <w14:solidFill>
              <w14:schemeClr w14:val="tx1"/>
            </w14:solidFill>
          </w14:textFill>
        </w:rPr>
        <w:t>。</w:t>
      </w:r>
    </w:p>
    <w:p>
      <w:pPr>
        <w:keepNext/>
        <w:pageBreakBefore w:val="0"/>
        <w:widowControl/>
        <w:numPr>
          <w:ilvl w:val="0"/>
          <w:numId w:val="0"/>
        </w:numPr>
        <w:kinsoku/>
        <w:wordWrap/>
        <w:overflowPunct/>
        <w:topLinePunct w:val="0"/>
        <w:bidi w:val="0"/>
        <w:snapToGrid/>
        <w:spacing w:beforeLines="0" w:afterLines="0" w:line="360" w:lineRule="auto"/>
        <w:ind w:firstLine="640" w:firstLineChars="200"/>
        <w:jc w:val="both"/>
        <w:textAlignment w:val="auto"/>
        <w:outlineLvl w:val="1"/>
        <w:rPr>
          <w:rFonts w:hint="eastAsia" w:ascii="楷体" w:hAnsi="楷体" w:eastAsia="楷体" w:cs="楷体"/>
          <w:b w:val="0"/>
          <w:bCs/>
          <w:color w:val="000000" w:themeColor="text1"/>
          <w:kern w:val="0"/>
          <w:sz w:val="32"/>
          <w:szCs w:val="32"/>
          <w:highlight w:val="none"/>
          <w14:textFill>
            <w14:solidFill>
              <w14:schemeClr w14:val="tx1"/>
            </w14:solidFill>
          </w14:textFill>
        </w:rPr>
      </w:pPr>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（二）</w:t>
      </w:r>
      <w:r>
        <w:rPr>
          <w:rFonts w:hint="eastAsia" w:ascii="楷体" w:hAnsi="楷体" w:eastAsia="楷体" w:cs="楷体"/>
          <w:b w:val="0"/>
          <w:bCs/>
          <w:color w:val="000000" w:themeColor="text1"/>
          <w:kern w:val="0"/>
          <w:sz w:val="32"/>
          <w:szCs w:val="32"/>
          <w:highlight w:val="none"/>
          <w14:textFill>
            <w14:solidFill>
              <w14:schemeClr w14:val="tx1"/>
            </w14:solidFill>
          </w14:textFill>
        </w:rPr>
        <w:t>术语和定义</w:t>
      </w:r>
    </w:p>
    <w:p>
      <w:pPr>
        <w:pageBreakBefore w:val="0"/>
        <w:numPr>
          <w:ilvl w:val="0"/>
          <w:numId w:val="0"/>
        </w:numPr>
        <w:kinsoku/>
        <w:wordWrap/>
        <w:overflowPunct/>
        <w:topLinePunct w:val="0"/>
        <w:bidi w:val="0"/>
        <w:snapToGrid/>
        <w:spacing w:beforeLines="-2147483648" w:afterLines="-2147483648" w:line="240" w:lineRule="auto"/>
        <w:ind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以人工种植滇皂荚（Gleditsia japonica var. delavayi (Franch.) L.C.Li）成熟果实为原料，去荚取种子，去除种皮、子叶，取外胚乳，经干燥等工艺制成的产品。</w:t>
      </w:r>
    </w:p>
    <w:p>
      <w:pPr>
        <w:keepNext/>
        <w:pageBreakBefore w:val="0"/>
        <w:widowControl/>
        <w:numPr>
          <w:ilvl w:val="0"/>
          <w:numId w:val="0"/>
        </w:numPr>
        <w:kinsoku/>
        <w:wordWrap/>
        <w:overflowPunct/>
        <w:topLinePunct w:val="0"/>
        <w:bidi w:val="0"/>
        <w:snapToGrid/>
        <w:spacing w:before="0" w:beforeLines="0" w:after="0" w:afterLines="0" w:line="360" w:lineRule="auto"/>
        <w:ind w:firstLine="640" w:firstLineChars="200"/>
        <w:jc w:val="both"/>
        <w:textAlignment w:val="auto"/>
        <w:outlineLvl w:val="1"/>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pPr>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（三）</w:t>
      </w:r>
      <w:r>
        <w:rPr>
          <w:rFonts w:hint="eastAsia" w:ascii="楷体" w:hAnsi="楷体" w:eastAsia="楷体" w:cs="楷体"/>
          <w:b w:val="0"/>
          <w:bCs/>
          <w:color w:val="000000" w:themeColor="text1"/>
          <w:kern w:val="0"/>
          <w:sz w:val="32"/>
          <w:szCs w:val="32"/>
          <w:highlight w:val="none"/>
          <w14:textFill>
            <w14:solidFill>
              <w14:schemeClr w14:val="tx1"/>
            </w14:solidFill>
          </w14:textFill>
        </w:rPr>
        <w:t>标准参数验证</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从我省</w:t>
      </w:r>
      <w:r>
        <w:rPr>
          <w:rFonts w:hint="eastAsia" w:ascii="仿宋_GB2312" w:hAnsi="仿宋_GB2312" w:eastAsia="仿宋_GB2312" w:cs="仿宋_GB2312"/>
          <w:color w:val="auto"/>
          <w:sz w:val="32"/>
          <w:szCs w:val="32"/>
          <w:highlight w:val="none"/>
          <w:lang w:val="en-US" w:eastAsia="zh-CN"/>
        </w:rPr>
        <w:t>滇皂荚米生产</w:t>
      </w:r>
      <w:r>
        <w:rPr>
          <w:rFonts w:hint="eastAsia" w:ascii="仿宋_GB2312" w:hAnsi="仿宋_GB2312" w:eastAsia="仿宋_GB2312" w:cs="仿宋_GB2312"/>
          <w:color w:val="auto"/>
          <w:sz w:val="32"/>
          <w:szCs w:val="32"/>
          <w:highlight w:val="none"/>
        </w:rPr>
        <w:t>现状和技术条件，在标准修订时，</w:t>
      </w:r>
      <w:r>
        <w:rPr>
          <w:rFonts w:hint="eastAsia" w:ascii="仿宋_GB2312" w:hAnsi="仿宋_GB2312" w:eastAsia="仿宋_GB2312" w:cs="仿宋_GB2312"/>
          <w:color w:val="auto"/>
          <w:sz w:val="32"/>
          <w:szCs w:val="32"/>
          <w:highlight w:val="none"/>
          <w:lang w:val="en-US" w:eastAsia="zh-CN"/>
        </w:rPr>
        <w:t>多次深入滇皂荚米生产加工企业、协会、加工作坊调研</w:t>
      </w:r>
      <w:r>
        <w:rPr>
          <w:rFonts w:hint="eastAsia" w:ascii="仿宋_GB2312" w:hAnsi="仿宋_GB2312" w:eastAsia="仿宋_GB2312" w:cs="仿宋_GB2312"/>
          <w:color w:val="auto"/>
          <w:sz w:val="32"/>
          <w:szCs w:val="32"/>
          <w:highlight w:val="none"/>
        </w:rPr>
        <w:t>座谈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并采集不同地区的</w:t>
      </w:r>
      <w:r>
        <w:rPr>
          <w:rFonts w:hint="eastAsia" w:ascii="仿宋_GB2312" w:hAnsi="仿宋_GB2312" w:eastAsia="仿宋_GB2312" w:cs="仿宋_GB2312"/>
          <w:color w:val="auto"/>
          <w:sz w:val="32"/>
          <w:szCs w:val="32"/>
          <w:highlight w:val="none"/>
        </w:rPr>
        <w:t>产品检测，通过对数据的归纳整理分析，以获得代表我省</w:t>
      </w:r>
      <w:r>
        <w:rPr>
          <w:rFonts w:hint="eastAsia" w:ascii="仿宋_GB2312" w:hAnsi="仿宋_GB2312" w:eastAsia="仿宋_GB2312" w:cs="仿宋_GB2312"/>
          <w:color w:val="auto"/>
          <w:sz w:val="32"/>
          <w:szCs w:val="32"/>
          <w:highlight w:val="none"/>
          <w:lang w:val="en-US" w:eastAsia="zh-CN"/>
        </w:rPr>
        <w:t>滇皂荚米</w:t>
      </w:r>
      <w:r>
        <w:rPr>
          <w:rFonts w:hint="eastAsia" w:ascii="仿宋_GB2312" w:hAnsi="仿宋_GB2312" w:eastAsia="仿宋_GB2312" w:cs="仿宋_GB2312"/>
          <w:color w:val="auto"/>
          <w:sz w:val="32"/>
          <w:szCs w:val="32"/>
          <w:highlight w:val="none"/>
        </w:rPr>
        <w:t>生产实际水平的产品技术参数。</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color w:val="auto"/>
          <w:kern w:val="2"/>
          <w:sz w:val="32"/>
          <w:szCs w:val="32"/>
          <w:highlight w:val="none"/>
          <w:lang w:val="en-US" w:eastAsia="zh-CN"/>
        </w:rPr>
        <w:t>1.</w:t>
      </w:r>
      <w:r>
        <w:rPr>
          <w:rFonts w:hint="eastAsia" w:ascii="仿宋_GB2312" w:hAnsi="仿宋_GB2312" w:eastAsia="仿宋_GB2312" w:cs="仿宋_GB2312"/>
          <w:color w:val="auto"/>
          <w:sz w:val="32"/>
          <w:szCs w:val="32"/>
          <w:highlight w:val="none"/>
        </w:rPr>
        <w:t>样品来源</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w:t>
      </w:r>
      <w:r>
        <w:rPr>
          <w:rFonts w:hint="eastAsia" w:ascii="仿宋_GB2312" w:hAnsi="仿宋_GB2312" w:eastAsia="仿宋_GB2312" w:cs="仿宋_GB2312"/>
          <w:color w:val="auto"/>
          <w:sz w:val="32"/>
          <w:szCs w:val="32"/>
          <w:highlight w:val="none"/>
          <w:lang w:val="en-US" w:eastAsia="zh-CN"/>
        </w:rPr>
        <w:t>市场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特产店</w:t>
      </w:r>
      <w:r>
        <w:rPr>
          <w:rFonts w:hint="eastAsia" w:ascii="仿宋_GB2312" w:hAnsi="仿宋_GB2312" w:eastAsia="仿宋_GB2312" w:cs="仿宋_GB2312"/>
          <w:color w:val="auto"/>
          <w:sz w:val="32"/>
          <w:szCs w:val="32"/>
          <w:highlight w:val="none"/>
        </w:rPr>
        <w:t>等渠道购买</w:t>
      </w:r>
      <w:r>
        <w:rPr>
          <w:rFonts w:hint="eastAsia" w:ascii="仿宋_GB2312" w:hAnsi="仿宋_GB2312" w:eastAsia="仿宋_GB2312" w:cs="仿宋_GB2312"/>
          <w:color w:val="auto"/>
          <w:sz w:val="32"/>
          <w:szCs w:val="32"/>
          <w:highlight w:val="none"/>
          <w:lang w:val="en-US" w:eastAsia="zh-CN"/>
        </w:rPr>
        <w:t>保山</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德宏</w:t>
      </w:r>
      <w:r>
        <w:rPr>
          <w:rFonts w:hint="eastAsia" w:ascii="仿宋_GB2312" w:hAnsi="仿宋_GB2312" w:eastAsia="仿宋_GB2312" w:cs="仿宋_GB2312"/>
          <w:color w:val="auto"/>
          <w:sz w:val="32"/>
          <w:szCs w:val="32"/>
          <w:highlight w:val="none"/>
        </w:rPr>
        <w:t>等地企业和小作坊生产的</w:t>
      </w:r>
      <w:r>
        <w:rPr>
          <w:rFonts w:hint="eastAsia" w:ascii="仿宋_GB2312" w:hAnsi="仿宋_GB2312" w:eastAsia="仿宋_GB2312" w:cs="仿宋_GB2312"/>
          <w:color w:val="auto"/>
          <w:sz w:val="32"/>
          <w:szCs w:val="32"/>
          <w:highlight w:val="none"/>
          <w:lang w:val="en-US" w:eastAsia="zh-CN"/>
        </w:rPr>
        <w:t>滇皂荚米</w:t>
      </w:r>
      <w:r>
        <w:rPr>
          <w:rFonts w:hint="eastAsia" w:ascii="仿宋_GB2312" w:hAnsi="仿宋_GB2312" w:eastAsia="仿宋_GB2312" w:cs="仿宋_GB2312"/>
          <w:color w:val="auto"/>
          <w:sz w:val="32"/>
          <w:szCs w:val="32"/>
          <w:highlight w:val="none"/>
        </w:rPr>
        <w:t>产品进行检测验证，共采集样品</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组，基本涵盖了</w:t>
      </w:r>
      <w:r>
        <w:rPr>
          <w:rFonts w:hint="eastAsia" w:ascii="仿宋_GB2312" w:hAnsi="仿宋_GB2312" w:eastAsia="仿宋_GB2312" w:cs="仿宋_GB2312"/>
          <w:color w:val="auto"/>
          <w:sz w:val="32"/>
          <w:szCs w:val="32"/>
          <w:highlight w:val="none"/>
          <w:lang w:val="en-US" w:eastAsia="zh-CN"/>
        </w:rPr>
        <w:t>滇皂荚米</w:t>
      </w:r>
      <w:r>
        <w:rPr>
          <w:rFonts w:hint="eastAsia" w:ascii="仿宋_GB2312" w:hAnsi="仿宋_GB2312" w:eastAsia="仿宋_GB2312" w:cs="仿宋_GB2312"/>
          <w:color w:val="auto"/>
          <w:sz w:val="32"/>
          <w:szCs w:val="32"/>
          <w:highlight w:val="none"/>
        </w:rPr>
        <w:t>生产的主要产区，能够代表云南</w:t>
      </w:r>
      <w:r>
        <w:rPr>
          <w:rFonts w:hint="eastAsia" w:ascii="仿宋_GB2312" w:hAnsi="仿宋_GB2312" w:eastAsia="仿宋_GB2312" w:cs="仿宋_GB2312"/>
          <w:color w:val="auto"/>
          <w:sz w:val="32"/>
          <w:szCs w:val="32"/>
          <w:highlight w:val="none"/>
          <w:lang w:val="en-US" w:eastAsia="zh-CN"/>
        </w:rPr>
        <w:t>滇皂荚米</w:t>
      </w:r>
      <w:r>
        <w:rPr>
          <w:rFonts w:hint="eastAsia" w:ascii="仿宋_GB2312" w:hAnsi="仿宋_GB2312" w:eastAsia="仿宋_GB2312" w:cs="仿宋_GB2312"/>
          <w:color w:val="auto"/>
          <w:sz w:val="32"/>
          <w:szCs w:val="32"/>
          <w:highlight w:val="none"/>
        </w:rPr>
        <w:t>生产的质量状况。</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感官</w:t>
      </w:r>
      <w:r>
        <w:rPr>
          <w:rFonts w:hint="eastAsia" w:ascii="仿宋_GB2312" w:hAnsi="仿宋_GB2312" w:eastAsia="仿宋_GB2312" w:cs="仿宋_GB2312"/>
          <w:color w:val="auto"/>
          <w:sz w:val="32"/>
          <w:szCs w:val="32"/>
          <w:highlight w:val="none"/>
          <w:lang w:val="en-US" w:eastAsia="zh-CN"/>
        </w:rPr>
        <w:t>要求</w:t>
      </w:r>
      <w:r>
        <w:rPr>
          <w:rFonts w:hint="eastAsia" w:ascii="仿宋_GB2312" w:hAnsi="仿宋_GB2312" w:eastAsia="仿宋_GB2312" w:cs="仿宋_GB2312"/>
          <w:color w:val="auto"/>
          <w:sz w:val="32"/>
          <w:szCs w:val="32"/>
          <w:highlight w:val="none"/>
        </w:rPr>
        <w:t>的确定</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感官</w:t>
      </w:r>
      <w:r>
        <w:rPr>
          <w:rFonts w:hint="eastAsia" w:ascii="仿宋_GB2312" w:hAnsi="仿宋_GB2312" w:eastAsia="仿宋_GB2312" w:cs="仿宋_GB2312"/>
          <w:color w:val="auto"/>
          <w:sz w:val="32"/>
          <w:szCs w:val="32"/>
          <w:highlight w:val="none"/>
          <w:lang w:val="en-US" w:eastAsia="zh-CN"/>
        </w:rPr>
        <w:t>要求</w:t>
      </w:r>
      <w:r>
        <w:rPr>
          <w:rFonts w:hint="eastAsia" w:ascii="仿宋_GB2312" w:hAnsi="仿宋_GB2312" w:eastAsia="仿宋_GB2312" w:cs="仿宋_GB2312"/>
          <w:color w:val="auto"/>
          <w:sz w:val="32"/>
          <w:szCs w:val="32"/>
          <w:highlight w:val="none"/>
        </w:rPr>
        <w:t>是产品质量最直接最基本的要求，本标准从</w:t>
      </w:r>
      <w:r>
        <w:rPr>
          <w:rFonts w:hint="eastAsia" w:ascii="仿宋_GB2312" w:hAnsi="仿宋_GB2312" w:eastAsia="仿宋_GB2312" w:cs="仿宋_GB2312"/>
          <w:color w:val="auto"/>
          <w:sz w:val="32"/>
          <w:szCs w:val="32"/>
          <w:highlight w:val="none"/>
          <w:lang w:val="en-US" w:eastAsia="zh-CN"/>
        </w:rPr>
        <w:t>滇皂荚米</w:t>
      </w:r>
      <w:r>
        <w:rPr>
          <w:rFonts w:hint="eastAsia" w:ascii="仿宋_GB2312" w:hAnsi="仿宋_GB2312" w:eastAsia="仿宋_GB2312" w:cs="仿宋_GB2312"/>
          <w:color w:val="auto"/>
          <w:sz w:val="32"/>
          <w:szCs w:val="32"/>
          <w:highlight w:val="none"/>
        </w:rPr>
        <w:t>的色泽、气味、</w:t>
      </w:r>
      <w:r>
        <w:rPr>
          <w:rFonts w:hint="eastAsia" w:ascii="仿宋_GB2312" w:hAnsi="仿宋_GB2312" w:eastAsia="仿宋_GB2312" w:cs="仿宋_GB2312"/>
          <w:color w:val="auto"/>
          <w:sz w:val="32"/>
          <w:szCs w:val="32"/>
          <w:highlight w:val="none"/>
          <w:lang w:val="en-US" w:eastAsia="zh-CN"/>
        </w:rPr>
        <w:t>组织形态、</w:t>
      </w:r>
      <w:r>
        <w:rPr>
          <w:rFonts w:hint="eastAsia" w:ascii="仿宋_GB2312" w:hAnsi="仿宋_GB2312" w:eastAsia="仿宋_GB2312" w:cs="仿宋_GB2312"/>
          <w:color w:val="auto"/>
          <w:sz w:val="32"/>
          <w:szCs w:val="32"/>
          <w:highlight w:val="none"/>
        </w:rPr>
        <w:t>杂质等进行了描述，并规定了检验方法。最终确定检验方法为：取适量样品置于洁净白色瓷盘中，在自然光线下，</w:t>
      </w:r>
      <w:r>
        <w:rPr>
          <w:rFonts w:hint="eastAsia" w:ascii="仿宋_GB2312" w:hAnsi="仿宋_GB2312" w:eastAsia="仿宋_GB2312" w:cs="仿宋_GB2312"/>
          <w:color w:val="auto"/>
          <w:sz w:val="32"/>
          <w:szCs w:val="32"/>
          <w:highlight w:val="none"/>
          <w:lang w:val="en-US" w:eastAsia="zh-CN"/>
        </w:rPr>
        <w:t>检查有无杂质，</w:t>
      </w:r>
      <w:r>
        <w:rPr>
          <w:rFonts w:hint="eastAsia" w:ascii="仿宋_GB2312" w:hAnsi="仿宋_GB2312" w:eastAsia="仿宋_GB2312" w:cs="仿宋_GB2312"/>
          <w:color w:val="auto"/>
          <w:sz w:val="32"/>
          <w:szCs w:val="32"/>
          <w:highlight w:val="none"/>
        </w:rPr>
        <w:t>观其色泽</w:t>
      </w:r>
      <w:r>
        <w:rPr>
          <w:rFonts w:hint="eastAsia" w:ascii="仿宋_GB2312" w:hAnsi="仿宋_GB2312" w:eastAsia="仿宋_GB2312" w:cs="仿宋_GB2312"/>
          <w:color w:val="auto"/>
          <w:sz w:val="32"/>
          <w:szCs w:val="32"/>
          <w:highlight w:val="none"/>
          <w:lang w:val="en-US" w:eastAsia="zh-CN"/>
        </w:rPr>
        <w:t>和组织形态</w:t>
      </w:r>
      <w:r>
        <w:rPr>
          <w:rFonts w:hint="eastAsia" w:ascii="仿宋_GB2312" w:hAnsi="仿宋_GB2312" w:eastAsia="仿宋_GB2312" w:cs="仿宋_GB2312"/>
          <w:color w:val="auto"/>
          <w:sz w:val="32"/>
          <w:szCs w:val="32"/>
          <w:highlight w:val="none"/>
        </w:rPr>
        <w:t>、嗅其气味。</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理化及安全性指标的确定</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水分测定方法及指标确定依据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对采集的</w:t>
      </w:r>
      <w:r>
        <w:rPr>
          <w:rFonts w:hint="eastAsia" w:ascii="仿宋_GB2312" w:hAnsi="仿宋_GB2312" w:eastAsia="仿宋_GB2312" w:cs="仿宋_GB2312"/>
          <w:color w:val="auto"/>
          <w:sz w:val="32"/>
          <w:szCs w:val="32"/>
          <w:highlight w:val="none"/>
          <w:lang w:val="en-US" w:eastAsia="zh-CN"/>
        </w:rPr>
        <w:t>滇皂荚米</w:t>
      </w:r>
      <w:r>
        <w:rPr>
          <w:rFonts w:hint="eastAsia" w:ascii="仿宋_GB2312" w:hAnsi="仿宋_GB2312" w:eastAsia="仿宋_GB2312" w:cs="仿宋_GB2312"/>
          <w:color w:val="auto"/>
          <w:sz w:val="32"/>
          <w:szCs w:val="32"/>
          <w:highlight w:val="none"/>
        </w:rPr>
        <w:t>样品按GB 5009.3《食品安全国家标准 食品中水分的测定》进行水分验证检测。水分含量在：</w:t>
      </w:r>
      <w:r>
        <w:rPr>
          <w:rFonts w:hint="eastAsia" w:ascii="仿宋_GB2312" w:hAnsi="仿宋_GB2312" w:eastAsia="仿宋_GB2312" w:cs="仿宋_GB2312"/>
          <w:color w:val="auto"/>
          <w:sz w:val="32"/>
          <w:szCs w:val="32"/>
          <w:highlight w:val="none"/>
          <w:lang w:val="en-US" w:eastAsia="zh-CN"/>
        </w:rPr>
        <w:t>3.14</w:t>
      </w:r>
      <w:r>
        <w:rPr>
          <w:rFonts w:hint="eastAsia" w:ascii="仿宋_GB2312" w:hAnsi="仿宋_GB2312" w:eastAsia="仿宋_GB2312" w:cs="仿宋_GB2312"/>
          <w:color w:val="auto"/>
          <w:sz w:val="32"/>
          <w:szCs w:val="32"/>
          <w:highlight w:val="none"/>
        </w:rPr>
        <w:t>~12.</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 xml:space="preserve"> g/100g，平均值为</w:t>
      </w:r>
      <w:r>
        <w:rPr>
          <w:rFonts w:hint="eastAsia" w:ascii="仿宋_GB2312" w:hAnsi="仿宋_GB2312" w:eastAsia="仿宋_GB2312" w:cs="仿宋_GB2312"/>
          <w:color w:val="auto"/>
          <w:sz w:val="32"/>
          <w:szCs w:val="32"/>
          <w:highlight w:val="none"/>
          <w:lang w:val="en-US" w:eastAsia="zh-CN"/>
        </w:rPr>
        <w:t>7.86</w:t>
      </w:r>
      <w:r>
        <w:rPr>
          <w:rFonts w:hint="eastAsia" w:ascii="仿宋_GB2312" w:hAnsi="仿宋_GB2312" w:eastAsia="仿宋_GB2312" w:cs="仿宋_GB2312"/>
          <w:color w:val="auto"/>
          <w:sz w:val="32"/>
          <w:szCs w:val="32"/>
          <w:highlight w:val="none"/>
        </w:rPr>
        <w:t xml:space="preserve"> g/100g。</w:t>
      </w:r>
      <w:r>
        <w:rPr>
          <w:rFonts w:hint="eastAsia" w:ascii="仿宋_GB2312" w:hAnsi="仿宋_GB2312" w:eastAsia="仿宋_GB2312" w:cs="仿宋_GB2312"/>
          <w:color w:val="auto"/>
          <w:sz w:val="32"/>
          <w:szCs w:val="32"/>
          <w:highlight w:val="none"/>
          <w:lang w:val="en-US" w:eastAsia="zh-CN"/>
        </w:rPr>
        <w:t>本标准</w:t>
      </w:r>
      <w:r>
        <w:rPr>
          <w:rFonts w:hint="eastAsia" w:ascii="仿宋_GB2312" w:hAnsi="仿宋_GB2312" w:eastAsia="仿宋_GB2312" w:cs="仿宋_GB2312"/>
          <w:color w:val="auto"/>
          <w:sz w:val="32"/>
          <w:szCs w:val="32"/>
          <w:highlight w:val="none"/>
        </w:rPr>
        <w:t>规定</w:t>
      </w:r>
      <w:r>
        <w:rPr>
          <w:rFonts w:hint="eastAsia" w:ascii="仿宋_GB2312" w:hAnsi="仿宋_GB2312" w:eastAsia="仿宋_GB2312" w:cs="仿宋_GB2312"/>
          <w:color w:val="auto"/>
          <w:sz w:val="32"/>
          <w:szCs w:val="32"/>
          <w:highlight w:val="none"/>
          <w:lang w:val="en-US" w:eastAsia="zh-CN"/>
        </w:rPr>
        <w:t>滇皂米水分含量</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g/100g。</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对采集的样品</w:t>
      </w:r>
      <w:r>
        <w:rPr>
          <w:rFonts w:hint="eastAsia" w:ascii="仿宋_GB2312" w:hAnsi="仿宋_GB2312" w:eastAsia="仿宋_GB2312" w:cs="仿宋_GB2312"/>
          <w:color w:val="auto"/>
          <w:sz w:val="32"/>
          <w:szCs w:val="32"/>
          <w:highlight w:val="none"/>
        </w:rPr>
        <w:t>依据GB 5009.</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-2016《</w:t>
      </w:r>
      <w:r>
        <w:rPr>
          <w:rFonts w:hint="eastAsia" w:ascii="仿宋_GB2312" w:hAnsi="仿宋_GB2312" w:eastAsia="仿宋_GB2312" w:cs="仿宋_GB2312"/>
          <w:i w:val="0"/>
          <w:iCs w:val="0"/>
          <w:caps w:val="0"/>
          <w:color w:val="auto"/>
          <w:spacing w:val="0"/>
          <w:sz w:val="32"/>
          <w:szCs w:val="32"/>
          <w:highlight w:val="none"/>
          <w:shd w:val="clear" w:fill="auto"/>
        </w:rPr>
        <w:t>食品安全国家标准 食品中灰分的测定</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进行测定，检测样品中灰分含量范围为：0.48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0.75</w:t>
      </w:r>
      <w:r>
        <w:rPr>
          <w:rFonts w:hint="eastAsia" w:ascii="仿宋_GB2312" w:hAnsi="仿宋_GB2312" w:eastAsia="仿宋_GB2312" w:cs="仿宋_GB2312"/>
          <w:color w:val="auto"/>
          <w:sz w:val="32"/>
          <w:szCs w:val="32"/>
          <w:highlight w:val="none"/>
        </w:rPr>
        <w:t xml:space="preserve"> g/100g，平均值为</w:t>
      </w:r>
      <w:r>
        <w:rPr>
          <w:rFonts w:hint="eastAsia" w:ascii="仿宋_GB2312" w:hAnsi="仿宋_GB2312" w:eastAsia="仿宋_GB2312" w:cs="仿宋_GB2312"/>
          <w:color w:val="auto"/>
          <w:sz w:val="32"/>
          <w:szCs w:val="32"/>
          <w:highlight w:val="none"/>
          <w:lang w:val="en-US" w:eastAsia="zh-CN"/>
        </w:rPr>
        <w:t>0.54</w:t>
      </w:r>
      <w:r>
        <w:rPr>
          <w:rFonts w:hint="eastAsia" w:ascii="仿宋_GB2312" w:hAnsi="仿宋_GB2312" w:eastAsia="仿宋_GB2312" w:cs="仿宋_GB2312"/>
          <w:color w:val="auto"/>
          <w:sz w:val="32"/>
          <w:szCs w:val="32"/>
          <w:highlight w:val="none"/>
        </w:rPr>
        <w:t>g/100g。</w:t>
      </w:r>
      <w:r>
        <w:rPr>
          <w:rFonts w:hint="eastAsia" w:ascii="仿宋_GB2312" w:hAnsi="仿宋_GB2312" w:eastAsia="仿宋_GB2312" w:cs="仿宋_GB2312"/>
          <w:color w:val="auto"/>
          <w:sz w:val="32"/>
          <w:szCs w:val="32"/>
          <w:highlight w:val="none"/>
          <w:lang w:val="en-US" w:eastAsia="zh-CN"/>
        </w:rPr>
        <w:t>依据检测结果，滇皂荚米中灰分含量较低，</w:t>
      </w:r>
      <w:r>
        <w:rPr>
          <w:rFonts w:hint="eastAsia" w:ascii="仿宋_GB2312" w:hAnsi="仿宋_GB2312" w:eastAsia="仿宋_GB2312" w:cs="仿宋_GB2312"/>
          <w:color w:val="auto"/>
          <w:sz w:val="32"/>
          <w:szCs w:val="32"/>
          <w:highlight w:val="none"/>
          <w:lang w:val="en-US" w:eastAsia="zh-CN"/>
        </w:rPr>
        <w:t>本标准不对灰分作出规定。</w:t>
      </w:r>
      <w:r>
        <w:rPr>
          <w:rFonts w:hint="eastAsia" w:ascii="仿宋_GB2312" w:hAnsi="仿宋_GB2312" w:eastAsia="仿宋_GB2312" w:cs="仿宋_GB2312"/>
          <w:color w:val="auto"/>
          <w:sz w:val="32"/>
          <w:szCs w:val="32"/>
          <w:highlight w:val="none"/>
          <w:lang w:val="en-US" w:eastAsia="zh-CN"/>
        </w:rPr>
        <w:t xml:space="preserve"> </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污染物测定方法及指标的确定</w:t>
      </w:r>
    </w:p>
    <w:p>
      <w:pPr>
        <w:numPr>
          <w:ilvl w:val="0"/>
          <w:numId w:val="0"/>
        </w:numPr>
        <w:adjustRightInd/>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按照GB 5009.12《食品安全国家标准 食品中铅的测定》进行铅验证检测，铅检测结果显示</w:t>
      </w:r>
      <w:r>
        <w:rPr>
          <w:rFonts w:hint="eastAsia" w:ascii="仿宋_GB2312" w:hAnsi="仿宋_GB2312" w:eastAsia="仿宋_GB2312" w:cs="仿宋_GB2312"/>
          <w:color w:val="auto"/>
          <w:sz w:val="32"/>
          <w:szCs w:val="32"/>
          <w:highlight w:val="none"/>
          <w:lang w:val="en-US" w:eastAsia="zh-CN"/>
        </w:rPr>
        <w:t>滇皂荚米30</w:t>
      </w:r>
      <w:r>
        <w:rPr>
          <w:rFonts w:hint="eastAsia" w:ascii="仿宋_GB2312" w:hAnsi="仿宋_GB2312" w:eastAsia="仿宋_GB2312" w:cs="仿宋_GB2312"/>
          <w:color w:val="auto"/>
          <w:sz w:val="32"/>
          <w:szCs w:val="32"/>
          <w:highlight w:val="none"/>
        </w:rPr>
        <w:t>组样品</w:t>
      </w:r>
      <w:r>
        <w:rPr>
          <w:rFonts w:hint="eastAsia" w:ascii="仿宋_GB2312" w:hAnsi="仿宋_GB2312" w:eastAsia="仿宋_GB2312" w:cs="仿宋_GB2312"/>
          <w:color w:val="auto"/>
          <w:sz w:val="32"/>
          <w:szCs w:val="32"/>
          <w:highlight w:val="none"/>
          <w:lang w:val="en-US" w:eastAsia="zh-CN"/>
        </w:rPr>
        <w:t>中滇皂荚米铅含量范围为：</w:t>
      </w:r>
      <w:r>
        <w:rPr>
          <w:rFonts w:hint="eastAsia" w:ascii="仿宋_GB2312" w:hAnsi="仿宋_GB2312" w:eastAsia="仿宋_GB2312" w:cs="仿宋_GB2312"/>
          <w:i w:val="0"/>
          <w:iCs w:val="0"/>
          <w:color w:val="auto"/>
          <w:kern w:val="2"/>
          <w:sz w:val="32"/>
          <w:szCs w:val="32"/>
          <w:highlight w:val="none"/>
          <w:u w:val="none"/>
          <w:lang w:val="en-US" w:eastAsia="zh-CN" w:bidi="ar"/>
        </w:rPr>
        <w:t>未检出～0.233m</w:t>
      </w:r>
      <w:r>
        <w:rPr>
          <w:rFonts w:hint="eastAsia" w:ascii="仿宋_GB2312" w:hAnsi="仿宋_GB2312" w:eastAsia="仿宋_GB2312" w:cs="仿宋_GB2312"/>
          <w:color w:val="auto"/>
          <w:sz w:val="32"/>
          <w:szCs w:val="32"/>
          <w:highlight w:val="none"/>
        </w:rPr>
        <w:t>g/</w:t>
      </w:r>
      <w:r>
        <w:rPr>
          <w:rFonts w:hint="eastAsia" w:ascii="仿宋_GB2312" w:hAnsi="仿宋_GB2312" w:eastAsia="仿宋_GB2312" w:cs="仿宋_GB2312"/>
          <w:color w:val="auto"/>
          <w:sz w:val="32"/>
          <w:szCs w:val="32"/>
          <w:highlight w:val="none"/>
          <w:lang w:val="en-US" w:eastAsia="zh-CN"/>
        </w:rPr>
        <w:t>k</w:t>
      </w:r>
      <w:r>
        <w:rPr>
          <w:rFonts w:hint="eastAsia" w:ascii="仿宋_GB2312" w:hAnsi="仿宋_GB2312" w:eastAsia="仿宋_GB2312" w:cs="仿宋_GB2312"/>
          <w:color w:val="auto"/>
          <w:sz w:val="32"/>
          <w:szCs w:val="32"/>
          <w:highlight w:val="none"/>
        </w:rPr>
        <w:t>g，平均值为</w:t>
      </w:r>
      <w:r>
        <w:rPr>
          <w:rFonts w:hint="eastAsia" w:ascii="仿宋_GB2312" w:hAnsi="仿宋_GB2312" w:eastAsia="仿宋_GB2312" w:cs="仿宋_GB2312"/>
          <w:color w:val="auto"/>
          <w:sz w:val="32"/>
          <w:szCs w:val="32"/>
          <w:highlight w:val="none"/>
          <w:lang w:val="en-US" w:eastAsia="zh-CN"/>
        </w:rPr>
        <w:t>0.0912m</w:t>
      </w:r>
      <w:r>
        <w:rPr>
          <w:rFonts w:hint="eastAsia" w:ascii="仿宋_GB2312" w:hAnsi="仿宋_GB2312" w:eastAsia="仿宋_GB2312" w:cs="仿宋_GB2312"/>
          <w:color w:val="auto"/>
          <w:sz w:val="32"/>
          <w:szCs w:val="32"/>
          <w:highlight w:val="none"/>
        </w:rPr>
        <w:t>g/</w:t>
      </w:r>
      <w:r>
        <w:rPr>
          <w:rFonts w:hint="eastAsia" w:ascii="仿宋_GB2312" w:hAnsi="仿宋_GB2312" w:eastAsia="仿宋_GB2312" w:cs="仿宋_GB2312"/>
          <w:color w:val="auto"/>
          <w:sz w:val="32"/>
          <w:szCs w:val="32"/>
          <w:highlight w:val="none"/>
          <w:lang w:val="en-US" w:eastAsia="zh-CN"/>
        </w:rPr>
        <w:t>k</w:t>
      </w:r>
      <w:r>
        <w:rPr>
          <w:rFonts w:hint="eastAsia" w:ascii="仿宋_GB2312" w:hAnsi="仿宋_GB2312" w:eastAsia="仿宋_GB2312" w:cs="仿宋_GB2312"/>
          <w:color w:val="auto"/>
          <w:sz w:val="32"/>
          <w:szCs w:val="32"/>
          <w:highlight w:val="none"/>
        </w:rPr>
        <w:t>g。</w:t>
      </w:r>
      <w:r>
        <w:rPr>
          <w:rFonts w:hint="eastAsia" w:ascii="仿宋_GB2312" w:hAnsi="仿宋_GB2312" w:eastAsia="仿宋_GB2312" w:cs="仿宋_GB2312"/>
          <w:color w:val="auto"/>
          <w:sz w:val="32"/>
          <w:szCs w:val="32"/>
          <w:highlight w:val="none"/>
          <w:lang w:val="en-US" w:eastAsia="zh-CN"/>
        </w:rPr>
        <w:t>国家食品安全标准中没有滇皂荚米相关限量指标，综合考虑样品检测结果，</w:t>
      </w:r>
      <w:r>
        <w:rPr>
          <w:rFonts w:hint="eastAsia" w:ascii="仿宋_GB2312" w:hAnsi="仿宋_GB2312" w:eastAsia="仿宋_GB2312" w:cs="仿宋_GB2312"/>
          <w:color w:val="auto"/>
          <w:sz w:val="32"/>
          <w:szCs w:val="32"/>
          <w:highlight w:val="none"/>
          <w:lang w:val="en-US" w:eastAsia="zh-CN"/>
        </w:rPr>
        <w:t>本标准</w:t>
      </w:r>
      <w:r>
        <w:rPr>
          <w:rFonts w:hint="eastAsia" w:ascii="仿宋_GB2312" w:hAnsi="仿宋_GB2312" w:eastAsia="仿宋_GB2312" w:cs="仿宋_GB2312"/>
          <w:color w:val="auto"/>
          <w:sz w:val="32"/>
          <w:szCs w:val="32"/>
          <w:highlight w:val="none"/>
          <w:lang w:val="en-US" w:eastAsia="zh-CN"/>
        </w:rPr>
        <w:t>铅</w:t>
      </w:r>
      <w:r>
        <w:rPr>
          <w:rFonts w:hint="eastAsia" w:ascii="仿宋_GB2312" w:hAnsi="仿宋_GB2312" w:eastAsia="仿宋_GB2312" w:cs="仿宋_GB2312"/>
          <w:color w:val="auto"/>
          <w:kern w:val="2"/>
          <w:sz w:val="32"/>
          <w:szCs w:val="32"/>
          <w:highlight w:val="none"/>
          <w:lang w:val="en-US" w:eastAsia="zh-CN" w:bidi="ar"/>
        </w:rPr>
        <w:t>限量确定为</w:t>
      </w:r>
      <w:r>
        <w:rPr>
          <w:rFonts w:hint="eastAsia" w:ascii="仿宋_GB2312" w:hAnsi="仿宋_GB2312" w:eastAsia="仿宋_GB2312" w:cs="仿宋_GB2312"/>
          <w:color w:val="auto"/>
          <w:kern w:val="2"/>
          <w:sz w:val="32"/>
          <w:szCs w:val="32"/>
          <w:highlight w:val="none"/>
          <w:lang w:val="en-US" w:eastAsia="zh-CN" w:bidi="ar"/>
        </w:rPr>
        <w:t>≤</w:t>
      </w:r>
      <w:r>
        <w:rPr>
          <w:rFonts w:hint="eastAsia" w:ascii="仿宋_GB2312" w:hAnsi="仿宋_GB2312" w:eastAsia="仿宋_GB2312" w:cs="仿宋_GB2312"/>
          <w:color w:val="auto"/>
          <w:kern w:val="2"/>
          <w:sz w:val="32"/>
          <w:szCs w:val="32"/>
          <w:highlight w:val="none"/>
          <w:lang w:val="en-US" w:eastAsia="zh-CN" w:bidi="ar"/>
        </w:rPr>
        <w:t>0.3m</w:t>
      </w:r>
      <w:r>
        <w:rPr>
          <w:rFonts w:hint="eastAsia" w:ascii="仿宋_GB2312" w:hAnsi="仿宋_GB2312" w:eastAsia="仿宋_GB2312" w:cs="仿宋_GB2312"/>
          <w:color w:val="auto"/>
          <w:sz w:val="32"/>
          <w:szCs w:val="32"/>
          <w:highlight w:val="none"/>
        </w:rPr>
        <w:t>g/</w:t>
      </w:r>
      <w:r>
        <w:rPr>
          <w:rFonts w:hint="eastAsia" w:ascii="仿宋_GB2312" w:hAnsi="仿宋_GB2312" w:eastAsia="仿宋_GB2312" w:cs="仿宋_GB2312"/>
          <w:color w:val="auto"/>
          <w:sz w:val="32"/>
          <w:szCs w:val="32"/>
          <w:highlight w:val="none"/>
          <w:lang w:val="en-US" w:eastAsia="zh-CN"/>
        </w:rPr>
        <w:t>k</w:t>
      </w:r>
      <w:r>
        <w:rPr>
          <w:rFonts w:hint="eastAsia" w:ascii="仿宋_GB2312" w:hAnsi="仿宋_GB2312" w:eastAsia="仿宋_GB2312" w:cs="仿宋_GB2312"/>
          <w:color w:val="auto"/>
          <w:sz w:val="32"/>
          <w:szCs w:val="32"/>
          <w:highlight w:val="none"/>
        </w:rPr>
        <w:t>g</w:t>
      </w:r>
      <w:r>
        <w:rPr>
          <w:rFonts w:hint="eastAsia" w:ascii="仿宋_GB2312" w:hAnsi="仿宋_GB2312" w:eastAsia="仿宋_GB2312" w:cs="仿宋_GB2312"/>
          <w:color w:val="auto"/>
          <w:sz w:val="32"/>
          <w:szCs w:val="32"/>
          <w:highlight w:val="none"/>
          <w:lang w:val="en-US" w:eastAsia="zh-CN"/>
        </w:rPr>
        <w:t>。</w:t>
      </w:r>
    </w:p>
    <w:p>
      <w:pPr>
        <w:pageBreakBefore w:val="0"/>
        <w:widowControl/>
        <w:numPr>
          <w:ilvl w:val="0"/>
          <w:numId w:val="0"/>
        </w:numPr>
        <w:kinsoku/>
        <w:wordWrap/>
        <w:overflowPunct/>
        <w:topLinePunct w:val="0"/>
        <w:bidi w:val="0"/>
        <w:snapToGrid/>
        <w:spacing w:before="0" w:beforeLines="-2147483648" w:after="0" w:afterLines="-2147483648" w:line="240" w:lineRule="auto"/>
        <w:ind w:firstLine="640" w:firstLineChars="200"/>
        <w:jc w:val="both"/>
        <w:textAlignment w:val="auto"/>
        <w:outlineLvl w:val="9"/>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对采集样品进行总砷、总汞、镉、</w:t>
      </w:r>
      <w:r>
        <w:rPr>
          <w:rFonts w:hint="eastAsia" w:ascii="仿宋_GB2312" w:hAnsi="仿宋_GB2312" w:eastAsia="仿宋_GB2312" w:cs="仿宋_GB2312"/>
          <w:i w:val="0"/>
          <w:iCs w:val="0"/>
          <w:color w:val="auto"/>
          <w:kern w:val="2"/>
          <w:sz w:val="32"/>
          <w:szCs w:val="32"/>
          <w:highlight w:val="none"/>
          <w:u w:val="none"/>
          <w:lang w:val="en-US" w:eastAsia="zh-CN" w:bidi="ar"/>
        </w:rPr>
        <w:t>铬</w:t>
      </w:r>
      <w:r>
        <w:rPr>
          <w:rFonts w:hint="eastAsia" w:ascii="仿宋_GB2312" w:hAnsi="仿宋_GB2312" w:eastAsia="仿宋_GB2312" w:cs="仿宋_GB2312"/>
          <w:color w:val="auto"/>
          <w:sz w:val="32"/>
          <w:szCs w:val="32"/>
          <w:highlight w:val="none"/>
          <w:lang w:val="en-US" w:eastAsia="zh-CN"/>
        </w:rPr>
        <w:t>检测，样品中总砷、总汞未检出，</w:t>
      </w:r>
      <w:r>
        <w:rPr>
          <w:rFonts w:hint="eastAsia" w:ascii="仿宋_GB2312" w:hAnsi="仿宋_GB2312" w:eastAsia="仿宋_GB2312" w:cs="仿宋_GB2312"/>
          <w:color w:val="auto"/>
          <w:sz w:val="32"/>
          <w:szCs w:val="32"/>
          <w:highlight w:val="none"/>
          <w:lang w:val="en-US" w:eastAsia="zh-CN"/>
        </w:rPr>
        <w:t>本</w:t>
      </w:r>
      <w:r>
        <w:rPr>
          <w:rFonts w:hint="eastAsia" w:ascii="仿宋_GB2312" w:hAnsi="仿宋_GB2312" w:eastAsia="仿宋_GB2312" w:cs="仿宋_GB2312"/>
          <w:color w:val="auto"/>
          <w:sz w:val="32"/>
          <w:szCs w:val="32"/>
          <w:highlight w:val="none"/>
          <w:lang w:val="en-US" w:eastAsia="zh-CN"/>
        </w:rPr>
        <w:t>标准</w:t>
      </w:r>
      <w:r>
        <w:rPr>
          <w:rFonts w:hint="eastAsia" w:ascii="仿宋_GB2312" w:hAnsi="仿宋_GB2312" w:eastAsia="仿宋_GB2312" w:cs="仿宋_GB2312"/>
          <w:color w:val="auto"/>
          <w:sz w:val="32"/>
          <w:szCs w:val="32"/>
          <w:highlight w:val="none"/>
          <w:lang w:val="en-US" w:eastAsia="zh-CN"/>
        </w:rPr>
        <w:t>不对总砷和总汞</w:t>
      </w:r>
      <w:r>
        <w:rPr>
          <w:rFonts w:hint="eastAsia" w:ascii="仿宋_GB2312" w:hAnsi="仿宋_GB2312" w:eastAsia="仿宋_GB2312" w:cs="仿宋_GB2312"/>
          <w:color w:val="auto"/>
          <w:sz w:val="32"/>
          <w:szCs w:val="32"/>
          <w:highlight w:val="none"/>
          <w:lang w:val="en-US" w:eastAsia="zh-CN"/>
        </w:rPr>
        <w:t>作</w:t>
      </w:r>
      <w:r>
        <w:rPr>
          <w:rFonts w:hint="eastAsia" w:ascii="仿宋_GB2312" w:hAnsi="仿宋_GB2312" w:eastAsia="仿宋_GB2312" w:cs="仿宋_GB2312"/>
          <w:color w:val="auto"/>
          <w:sz w:val="32"/>
          <w:szCs w:val="32"/>
          <w:highlight w:val="none"/>
          <w:lang w:val="en-US" w:eastAsia="zh-CN"/>
        </w:rPr>
        <w:t>出</w:t>
      </w:r>
      <w:r>
        <w:rPr>
          <w:rFonts w:hint="eastAsia" w:ascii="仿宋_GB2312" w:hAnsi="仿宋_GB2312" w:eastAsia="仿宋_GB2312" w:cs="仿宋_GB2312"/>
          <w:color w:val="auto"/>
          <w:sz w:val="32"/>
          <w:szCs w:val="32"/>
          <w:highlight w:val="none"/>
          <w:lang w:val="en-US" w:eastAsia="zh-CN"/>
        </w:rPr>
        <w:t>规定；样品中镉含量范围为</w:t>
      </w:r>
      <w:r>
        <w:rPr>
          <w:rFonts w:hint="eastAsia" w:ascii="仿宋_GB2312" w:hAnsi="仿宋_GB2312" w:eastAsia="仿宋_GB2312" w:cs="仿宋_GB2312"/>
          <w:color w:val="auto"/>
          <w:sz w:val="32"/>
          <w:szCs w:val="32"/>
          <w:highlight w:val="none"/>
          <w:u w:val="none"/>
          <w:lang w:val="en-US" w:eastAsia="zh-CN" w:bidi="ar"/>
        </w:rPr>
        <w:t>：</w:t>
      </w:r>
      <w:r>
        <w:rPr>
          <w:rFonts w:hint="eastAsia" w:ascii="仿宋_GB2312" w:hAnsi="仿宋_GB2312" w:eastAsia="仿宋_GB2312" w:cs="仿宋_GB2312"/>
          <w:i w:val="0"/>
          <w:iCs w:val="0"/>
          <w:color w:val="auto"/>
          <w:kern w:val="2"/>
          <w:sz w:val="32"/>
          <w:szCs w:val="32"/>
          <w:highlight w:val="none"/>
          <w:u w:val="none"/>
          <w:lang w:val="en-US" w:eastAsia="zh-CN" w:bidi="ar"/>
        </w:rPr>
        <w:t>未检出-0.00903，</w:t>
      </w:r>
      <w:r>
        <w:rPr>
          <w:rFonts w:hint="eastAsia" w:ascii="仿宋_GB2312" w:hAnsi="仿宋_GB2312" w:eastAsia="仿宋_GB2312" w:cs="仿宋_GB2312"/>
          <w:color w:val="auto"/>
          <w:sz w:val="32"/>
          <w:szCs w:val="32"/>
          <w:highlight w:val="none"/>
          <w:lang w:val="en-US" w:eastAsia="zh-CN"/>
        </w:rPr>
        <w:t>含量极低，本标准不</w:t>
      </w:r>
      <w:r>
        <w:rPr>
          <w:rFonts w:hint="eastAsia" w:ascii="仿宋_GB2312" w:hAnsi="仿宋_GB2312" w:eastAsia="仿宋_GB2312" w:cs="仿宋_GB2312"/>
          <w:color w:val="auto"/>
          <w:sz w:val="32"/>
          <w:szCs w:val="32"/>
          <w:highlight w:val="none"/>
          <w:lang w:val="en-US" w:eastAsia="zh-CN"/>
        </w:rPr>
        <w:t>对镉</w:t>
      </w:r>
      <w:r>
        <w:rPr>
          <w:rFonts w:hint="eastAsia" w:ascii="仿宋_GB2312" w:hAnsi="仿宋_GB2312" w:eastAsia="仿宋_GB2312" w:cs="仿宋_GB2312"/>
          <w:color w:val="auto"/>
          <w:sz w:val="32"/>
          <w:szCs w:val="32"/>
          <w:highlight w:val="none"/>
          <w:lang w:val="en-US" w:eastAsia="zh-CN"/>
        </w:rPr>
        <w:t>作出规定；样品中铬含量范围为：</w:t>
      </w:r>
      <w:r>
        <w:rPr>
          <w:rFonts w:hint="eastAsia" w:ascii="仿宋_GB2312" w:hAnsi="仿宋_GB2312" w:eastAsia="仿宋_GB2312" w:cs="仿宋_GB2312"/>
          <w:i w:val="0"/>
          <w:iCs w:val="0"/>
          <w:color w:val="auto"/>
          <w:kern w:val="2"/>
          <w:sz w:val="32"/>
          <w:szCs w:val="32"/>
          <w:highlight w:val="none"/>
          <w:u w:val="none"/>
          <w:lang w:val="en-US" w:eastAsia="zh-CN" w:bidi="ar"/>
        </w:rPr>
        <w:t>0.16～0.84mg/kg，参照GB</w:t>
      </w:r>
      <w:r>
        <w:rPr>
          <w:rFonts w:hint="eastAsia" w:ascii="仿宋_GB2312" w:hAnsi="仿宋_GB2312" w:eastAsia="仿宋_GB2312" w:cs="仿宋_GB2312"/>
          <w:i w:val="0"/>
          <w:iCs w:val="0"/>
          <w:color w:val="auto"/>
          <w:kern w:val="2"/>
          <w:sz w:val="32"/>
          <w:szCs w:val="32"/>
          <w:highlight w:val="none"/>
          <w:u w:val="none"/>
          <w:lang w:val="en-US" w:eastAsia="zh-CN" w:bidi="ar"/>
        </w:rPr>
        <w:t xml:space="preserve"> </w:t>
      </w:r>
      <w:r>
        <w:rPr>
          <w:rFonts w:hint="eastAsia" w:ascii="仿宋_GB2312" w:hAnsi="仿宋_GB2312" w:eastAsia="仿宋_GB2312" w:cs="仿宋_GB2312"/>
          <w:i w:val="0"/>
          <w:iCs w:val="0"/>
          <w:color w:val="auto"/>
          <w:kern w:val="2"/>
          <w:sz w:val="32"/>
          <w:szCs w:val="32"/>
          <w:highlight w:val="none"/>
          <w:u w:val="none"/>
          <w:lang w:val="en-US" w:eastAsia="zh-CN" w:bidi="ar"/>
        </w:rPr>
        <w:t>2762-202</w:t>
      </w:r>
      <w:r>
        <w:rPr>
          <w:rFonts w:hint="eastAsia" w:ascii="仿宋_GB2312" w:hAnsi="仿宋_GB2312" w:eastAsia="仿宋_GB2312" w:cs="仿宋_GB2312"/>
          <w:i w:val="0"/>
          <w:iCs w:val="0"/>
          <w:color w:val="auto"/>
          <w:kern w:val="2"/>
          <w:sz w:val="32"/>
          <w:szCs w:val="32"/>
          <w:highlight w:val="none"/>
          <w:u w:val="none"/>
          <w:lang w:val="en-US" w:eastAsia="zh-CN" w:bidi="ar"/>
        </w:rPr>
        <w:t>5</w:t>
      </w:r>
      <w:r>
        <w:rPr>
          <w:rFonts w:hint="eastAsia" w:ascii="仿宋_GB2312" w:hAnsi="仿宋_GB2312" w:eastAsia="仿宋_GB2312" w:cs="仿宋_GB2312"/>
          <w:i w:val="0"/>
          <w:iCs w:val="0"/>
          <w:color w:val="auto"/>
          <w:kern w:val="2"/>
          <w:sz w:val="32"/>
          <w:szCs w:val="32"/>
          <w:highlight w:val="none"/>
          <w:u w:val="none"/>
          <w:lang w:val="en-US" w:eastAsia="zh-CN" w:bidi="ar"/>
        </w:rPr>
        <w:t>《食品安全国家标准 食品中污染物限量》中谷物、豆类及制品限量</w:t>
      </w:r>
      <w:r>
        <w:rPr>
          <w:rFonts w:hint="eastAsia" w:ascii="仿宋_GB2312" w:hAnsi="仿宋_GB2312" w:eastAsia="仿宋_GB2312" w:cs="仿宋_GB2312"/>
          <w:i w:val="0"/>
          <w:iCs w:val="0"/>
          <w:color w:val="auto"/>
          <w:kern w:val="2"/>
          <w:sz w:val="32"/>
          <w:szCs w:val="32"/>
          <w:highlight w:val="none"/>
          <w:u w:val="none"/>
          <w:lang w:val="en-US" w:eastAsia="zh-CN" w:bidi="ar"/>
        </w:rPr>
        <w:t>≤1.0</w:t>
      </w:r>
      <w:r>
        <w:rPr>
          <w:rFonts w:hint="eastAsia" w:ascii="仿宋_GB2312" w:hAnsi="仿宋_GB2312" w:eastAsia="仿宋_GB2312" w:cs="仿宋_GB2312"/>
          <w:i w:val="0"/>
          <w:iCs w:val="0"/>
          <w:color w:val="auto"/>
          <w:kern w:val="2"/>
          <w:sz w:val="32"/>
          <w:szCs w:val="32"/>
          <w:highlight w:val="none"/>
          <w:u w:val="none"/>
          <w:lang w:val="en-US" w:eastAsia="zh-CN" w:bidi="ar"/>
        </w:rPr>
        <w:t>mg/kg，</w:t>
      </w:r>
      <w:r>
        <w:rPr>
          <w:rFonts w:hint="eastAsia" w:ascii="仿宋_GB2312" w:hAnsi="仿宋_GB2312" w:eastAsia="仿宋_GB2312" w:cs="仿宋_GB2312"/>
          <w:i w:val="0"/>
          <w:iCs w:val="0"/>
          <w:color w:val="auto"/>
          <w:kern w:val="2"/>
          <w:sz w:val="32"/>
          <w:szCs w:val="32"/>
          <w:highlight w:val="none"/>
          <w:u w:val="none"/>
          <w:lang w:val="en-US" w:eastAsia="zh-CN" w:bidi="ar"/>
        </w:rPr>
        <w:t>结合</w:t>
      </w:r>
      <w:r>
        <w:rPr>
          <w:rFonts w:hint="eastAsia" w:ascii="仿宋_GB2312" w:hAnsi="仿宋_GB2312" w:eastAsia="仿宋_GB2312" w:cs="仿宋_GB2312"/>
          <w:i w:val="0"/>
          <w:iCs w:val="0"/>
          <w:color w:val="auto"/>
          <w:kern w:val="2"/>
          <w:sz w:val="32"/>
          <w:szCs w:val="32"/>
          <w:highlight w:val="none"/>
          <w:u w:val="none"/>
          <w:lang w:val="en-US" w:eastAsia="zh-CN" w:bidi="ar"/>
        </w:rPr>
        <w:t>滇皂荚米推荐食用量每日5g，</w:t>
      </w:r>
      <w:r>
        <w:rPr>
          <w:rFonts w:hint="eastAsia" w:ascii="仿宋_GB2312" w:hAnsi="仿宋_GB2312" w:eastAsia="仿宋_GB2312" w:cs="仿宋_GB2312"/>
          <w:i w:val="0"/>
          <w:iCs w:val="0"/>
          <w:color w:val="auto"/>
          <w:kern w:val="2"/>
          <w:sz w:val="32"/>
          <w:szCs w:val="32"/>
          <w:highlight w:val="none"/>
          <w:u w:val="none"/>
          <w:lang w:val="en-US" w:eastAsia="zh-CN" w:bidi="ar"/>
        </w:rPr>
        <w:t>食用量较少，本标准不对铬作出规定</w:t>
      </w:r>
      <w:r>
        <w:rPr>
          <w:rFonts w:hint="eastAsia" w:ascii="仿宋_GB2312" w:hAnsi="仿宋_GB2312" w:eastAsia="仿宋_GB2312" w:cs="仿宋_GB2312"/>
          <w:i w:val="0"/>
          <w:iCs w:val="0"/>
          <w:color w:val="auto"/>
          <w:kern w:val="2"/>
          <w:sz w:val="32"/>
          <w:szCs w:val="32"/>
          <w:highlight w:val="none"/>
          <w:u w:val="none"/>
          <w:lang w:val="en-US" w:eastAsia="zh-CN" w:bidi="ar"/>
        </w:rPr>
        <w:t>。</w:t>
      </w:r>
    </w:p>
    <w:p>
      <w:pPr>
        <w:keepNext/>
        <w:widowControl/>
        <w:numPr>
          <w:ilvl w:val="0"/>
          <w:numId w:val="0"/>
        </w:numPr>
        <w:spacing w:beforeLines="0" w:after="0" w:afterLines="0" w:afterAutospacing="0" w:line="360" w:lineRule="auto"/>
        <w:ind w:firstLine="640" w:firstLineChars="200"/>
        <w:jc w:val="both"/>
        <w:outlineLvl w:val="1"/>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pPr>
      <w:bookmarkStart w:id="38" w:name="_Toc229304223"/>
      <w:bookmarkStart w:id="39" w:name="_Toc229304123"/>
      <w:bookmarkStart w:id="40" w:name="_Toc229303246"/>
      <w:bookmarkStart w:id="41" w:name="_Toc229304480"/>
      <w:bookmarkStart w:id="42" w:name="_Toc229303691"/>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（四）食品添加剂</w:t>
      </w:r>
    </w:p>
    <w:p>
      <w:pPr>
        <w:widowControl/>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滇皂荚米加工过程中不使用添加剂，标准规定“不应使用食品添加剂。”</w:t>
      </w:r>
    </w:p>
    <w:p>
      <w:pPr>
        <w:keepNext/>
        <w:widowControl/>
        <w:numPr>
          <w:ilvl w:val="0"/>
          <w:numId w:val="0"/>
        </w:numPr>
        <w:spacing w:beforeLines="0" w:afterLines="0" w:line="360" w:lineRule="auto"/>
        <w:ind w:firstLine="640" w:firstLineChars="200"/>
        <w:jc w:val="both"/>
        <w:outlineLvl w:val="1"/>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pPr>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（五）农药残留</w:t>
      </w:r>
    </w:p>
    <w:bookmarkEnd w:id="38"/>
    <w:bookmarkEnd w:id="39"/>
    <w:bookmarkEnd w:id="40"/>
    <w:bookmarkEnd w:id="41"/>
    <w:bookmarkEnd w:id="42"/>
    <w:p>
      <w:pPr>
        <w:pageBreakBefore w:val="0"/>
        <w:widowControl/>
        <w:numPr>
          <w:ilvl w:val="0"/>
          <w:numId w:val="0"/>
        </w:numPr>
        <w:kinsoku/>
        <w:wordWrap/>
        <w:overflowPunct/>
        <w:topLinePunct w:val="0"/>
        <w:bidi w:val="0"/>
        <w:snapToGrid/>
        <w:spacing w:beforeLines="-2147483648" w:afterLines="-2147483648" w:line="240" w:lineRule="auto"/>
        <w:ind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对</w:t>
      </w:r>
      <w:r>
        <w:rPr>
          <w:rFonts w:hint="eastAsia" w:ascii="仿宋_GB2312" w:hAnsi="仿宋_GB2312" w:eastAsia="仿宋_GB2312" w:cs="仿宋_GB2312"/>
          <w:b w:val="0"/>
          <w:bCs w:val="0"/>
          <w:color w:val="auto"/>
          <w:sz w:val="32"/>
          <w:szCs w:val="32"/>
          <w:highlight w:val="none"/>
          <w:lang w:val="en-US" w:eastAsia="zh-CN"/>
        </w:rPr>
        <w:t>滇皂荚米119</w:t>
      </w:r>
      <w:r>
        <w:rPr>
          <w:rFonts w:hint="eastAsia" w:ascii="仿宋_GB2312" w:hAnsi="仿宋_GB2312" w:eastAsia="仿宋_GB2312" w:cs="仿宋_GB2312"/>
          <w:b w:val="0"/>
          <w:bCs w:val="0"/>
          <w:color w:val="auto"/>
          <w:sz w:val="32"/>
          <w:szCs w:val="32"/>
          <w:highlight w:val="none"/>
        </w:rPr>
        <w:t>项农药</w:t>
      </w:r>
      <w:r>
        <w:rPr>
          <w:rFonts w:hint="eastAsia" w:ascii="仿宋_GB2312" w:hAnsi="仿宋_GB2312" w:eastAsia="仿宋_GB2312" w:cs="仿宋_GB2312"/>
          <w:b w:val="0"/>
          <w:bCs w:val="0"/>
          <w:color w:val="auto"/>
          <w:sz w:val="32"/>
          <w:szCs w:val="32"/>
          <w:highlight w:val="none"/>
          <w:lang w:val="en-US" w:eastAsia="zh-CN"/>
        </w:rPr>
        <w:t>进行了三批次</w:t>
      </w:r>
      <w:r>
        <w:rPr>
          <w:rFonts w:hint="eastAsia" w:ascii="仿宋_GB2312" w:hAnsi="仿宋_GB2312" w:eastAsia="仿宋_GB2312" w:cs="仿宋_GB2312"/>
          <w:b w:val="0"/>
          <w:bCs w:val="0"/>
          <w:color w:val="auto"/>
          <w:sz w:val="32"/>
          <w:szCs w:val="32"/>
          <w:highlight w:val="none"/>
        </w:rPr>
        <w:t>检测</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结果均</w:t>
      </w:r>
      <w:r>
        <w:rPr>
          <w:rFonts w:hint="eastAsia" w:ascii="仿宋_GB2312" w:hAnsi="仿宋_GB2312" w:eastAsia="仿宋_GB2312" w:cs="仿宋_GB2312"/>
          <w:b w:val="0"/>
          <w:bCs w:val="0"/>
          <w:color w:val="auto"/>
          <w:sz w:val="32"/>
          <w:szCs w:val="32"/>
          <w:highlight w:val="none"/>
          <w:lang w:val="en-US" w:eastAsia="zh-CN"/>
        </w:rPr>
        <w:t>未</w:t>
      </w:r>
      <w:r>
        <w:rPr>
          <w:rFonts w:hint="eastAsia" w:ascii="仿宋_GB2312" w:hAnsi="仿宋_GB2312" w:eastAsia="仿宋_GB2312" w:cs="仿宋_GB2312"/>
          <w:b w:val="0"/>
          <w:bCs w:val="0"/>
          <w:color w:val="auto"/>
          <w:sz w:val="32"/>
          <w:szCs w:val="32"/>
          <w:highlight w:val="none"/>
        </w:rPr>
        <w:t>检出。</w:t>
      </w:r>
      <w:r>
        <w:rPr>
          <w:rFonts w:hint="eastAsia" w:ascii="仿宋_GB2312" w:hAnsi="仿宋_GB2312" w:eastAsia="仿宋_GB2312" w:cs="仿宋_GB2312"/>
          <w:b w:val="0"/>
          <w:bCs w:val="0"/>
          <w:color w:val="auto"/>
          <w:sz w:val="32"/>
          <w:szCs w:val="32"/>
          <w:highlight w:val="none"/>
          <w:lang w:val="en-US" w:eastAsia="zh-CN"/>
        </w:rPr>
        <w:t>滇皂荚米为天然食材，样品中均未检出农药残留，本标准不对农药残留</w:t>
      </w:r>
      <w:r>
        <w:rPr>
          <w:rFonts w:hint="eastAsia" w:ascii="仿宋_GB2312" w:hAnsi="仿宋_GB2312" w:eastAsia="仿宋_GB2312" w:cs="仿宋_GB2312"/>
          <w:b w:val="0"/>
          <w:bCs w:val="0"/>
          <w:color w:val="auto"/>
          <w:sz w:val="32"/>
          <w:szCs w:val="32"/>
          <w:highlight w:val="none"/>
          <w:lang w:val="en-US" w:eastAsia="zh-CN"/>
        </w:rPr>
        <w:t>作出</w:t>
      </w:r>
      <w:r>
        <w:rPr>
          <w:rFonts w:hint="eastAsia" w:ascii="仿宋_GB2312" w:hAnsi="仿宋_GB2312" w:eastAsia="仿宋_GB2312" w:cs="仿宋_GB2312"/>
          <w:b w:val="0"/>
          <w:bCs w:val="0"/>
          <w:color w:val="auto"/>
          <w:sz w:val="32"/>
          <w:szCs w:val="32"/>
          <w:highlight w:val="none"/>
          <w:lang w:val="en-US" w:eastAsia="zh-CN"/>
        </w:rPr>
        <w:t>规定。</w:t>
      </w:r>
    </w:p>
    <w:p>
      <w:pPr>
        <w:keepNext/>
        <w:pageBreakBefore w:val="0"/>
        <w:widowControl/>
        <w:numPr>
          <w:ilvl w:val="0"/>
          <w:numId w:val="0"/>
        </w:numPr>
        <w:kinsoku/>
        <w:wordWrap/>
        <w:overflowPunct/>
        <w:topLinePunct w:val="0"/>
        <w:bidi w:val="0"/>
        <w:snapToGrid/>
        <w:spacing w:beforeLines="0" w:afterLines="0" w:line="360" w:lineRule="auto"/>
        <w:ind w:firstLine="640" w:firstLineChars="200"/>
        <w:jc w:val="both"/>
        <w:textAlignment w:val="auto"/>
        <w:outlineLvl w:val="1"/>
        <w:rPr>
          <w:rFonts w:hint="eastAsia" w:ascii="楷体" w:hAnsi="楷体" w:eastAsia="楷体" w:cs="楷体"/>
          <w:b w:val="0"/>
          <w:bCs/>
          <w:color w:val="000000" w:themeColor="text1"/>
          <w:kern w:val="0"/>
          <w:sz w:val="32"/>
          <w:szCs w:val="32"/>
          <w:highlight w:val="none"/>
          <w:lang w:eastAsia="zh-CN"/>
          <w14:textFill>
            <w14:solidFill>
              <w14:schemeClr w14:val="tx1"/>
            </w14:solidFill>
          </w14:textFill>
        </w:rPr>
      </w:pPr>
      <w:r>
        <w:rPr>
          <w:rFonts w:hint="eastAsia" w:ascii="楷体" w:hAnsi="楷体" w:eastAsia="楷体" w:cs="楷体"/>
          <w:b w:val="0"/>
          <w:bCs/>
          <w:color w:val="000000" w:themeColor="text1"/>
          <w:kern w:val="0"/>
          <w:sz w:val="32"/>
          <w:szCs w:val="32"/>
          <w:highlight w:val="none"/>
          <w:lang w:val="en-US" w:eastAsia="zh-CN"/>
          <w14:textFill>
            <w14:solidFill>
              <w14:schemeClr w14:val="tx1"/>
            </w14:solidFill>
          </w14:textFill>
        </w:rPr>
        <w:t>（六）</w:t>
      </w:r>
      <w:r>
        <w:rPr>
          <w:rFonts w:hint="eastAsia" w:ascii="楷体" w:hAnsi="楷体" w:eastAsia="楷体" w:cs="楷体"/>
          <w:b w:val="0"/>
          <w:bCs/>
          <w:color w:val="000000" w:themeColor="text1"/>
          <w:kern w:val="0"/>
          <w:sz w:val="32"/>
          <w:szCs w:val="32"/>
          <w:highlight w:val="none"/>
          <w:lang w:eastAsia="zh-CN"/>
          <w14:textFill>
            <w14:solidFill>
              <w14:schemeClr w14:val="tx1"/>
            </w14:solidFill>
          </w14:textFill>
        </w:rPr>
        <w:t>其他</w:t>
      </w:r>
    </w:p>
    <w:p>
      <w:pPr>
        <w:pageBreakBefore w:val="0"/>
        <w:widowControl/>
        <w:numPr>
          <w:ilvl w:val="0"/>
          <w:numId w:val="0"/>
        </w:numPr>
        <w:kinsoku/>
        <w:wordWrap/>
        <w:overflowPunct/>
        <w:topLinePunct w:val="0"/>
        <w:bidi w:val="0"/>
        <w:snapToGrid/>
        <w:spacing w:beforeLines="-2147483648" w:afterLines="-2147483648" w:line="240" w:lineRule="auto"/>
        <w:ind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根据风险评估报告，标准规定了</w:t>
      </w:r>
      <w:r>
        <w:rPr>
          <w:rFonts w:hint="eastAsia" w:ascii="仿宋_GB2312" w:hAnsi="仿宋_GB2312" w:eastAsia="仿宋_GB2312" w:cs="仿宋_GB2312"/>
          <w:color w:val="auto"/>
          <w:sz w:val="32"/>
          <w:szCs w:val="32"/>
          <w:highlight w:val="none"/>
          <w:lang w:val="en-US" w:eastAsia="zh-CN"/>
        </w:rPr>
        <w:t>滇皂荚米</w:t>
      </w:r>
      <w:r>
        <w:rPr>
          <w:rFonts w:hint="eastAsia" w:ascii="仿宋_GB2312" w:hAnsi="仿宋_GB2312" w:eastAsia="仿宋_GB2312" w:cs="仿宋_GB2312"/>
          <w:color w:val="auto"/>
          <w:sz w:val="32"/>
          <w:szCs w:val="32"/>
          <w:highlight w:val="none"/>
        </w:rPr>
        <w:t>每日</w:t>
      </w:r>
      <w:r>
        <w:rPr>
          <w:rFonts w:hint="eastAsia" w:ascii="仿宋_GB2312" w:hAnsi="仿宋_GB2312" w:eastAsia="仿宋_GB2312" w:cs="仿宋_GB2312"/>
          <w:color w:val="auto"/>
          <w:sz w:val="32"/>
          <w:szCs w:val="32"/>
          <w:highlight w:val="none"/>
          <w:lang w:val="en-US" w:eastAsia="zh-CN"/>
        </w:rPr>
        <w:t>推荐</w:t>
      </w:r>
      <w:r>
        <w:rPr>
          <w:rFonts w:hint="eastAsia" w:ascii="仿宋_GB2312" w:hAnsi="仿宋_GB2312" w:eastAsia="仿宋_GB2312" w:cs="仿宋_GB2312"/>
          <w:color w:val="auto"/>
          <w:sz w:val="32"/>
          <w:szCs w:val="32"/>
          <w:highlight w:val="none"/>
        </w:rPr>
        <w:t>食用量为</w:t>
      </w:r>
      <w:r>
        <w:rPr>
          <w:rFonts w:hint="eastAsia" w:ascii="仿宋_GB2312" w:hAnsi="仿宋_GB2312" w:eastAsia="仿宋_GB2312" w:cs="仿宋_GB2312"/>
          <w:color w:val="auto"/>
          <w:sz w:val="32"/>
          <w:szCs w:val="32"/>
          <w:highlight w:val="none"/>
          <w:lang w:val="en-US" w:eastAsia="zh-CN"/>
        </w:rPr>
        <w:t xml:space="preserve">5 </w:t>
      </w:r>
      <w:r>
        <w:rPr>
          <w:rFonts w:hint="eastAsia" w:ascii="仿宋_GB2312" w:hAnsi="仿宋_GB2312" w:eastAsia="仿宋_GB2312" w:cs="仿宋_GB2312"/>
          <w:color w:val="auto"/>
          <w:sz w:val="32"/>
          <w:szCs w:val="32"/>
          <w:highlight w:val="none"/>
        </w:rPr>
        <w:t>g</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以干品计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，婴幼儿、孕妇、</w:t>
      </w:r>
      <w:r>
        <w:rPr>
          <w:rFonts w:hint="eastAsia" w:ascii="仿宋_GB2312" w:hAnsi="仿宋_GB2312" w:eastAsia="仿宋_GB2312" w:cs="仿宋_GB2312"/>
          <w:color w:val="auto"/>
          <w:sz w:val="32"/>
          <w:szCs w:val="32"/>
          <w:highlight w:val="none"/>
          <w:lang w:val="en-US" w:eastAsia="zh-CN"/>
        </w:rPr>
        <w:t>乳母</w:t>
      </w:r>
      <w:r>
        <w:rPr>
          <w:rFonts w:hint="eastAsia" w:ascii="仿宋_GB2312" w:hAnsi="仿宋_GB2312" w:eastAsia="仿宋_GB2312" w:cs="仿宋_GB2312"/>
          <w:color w:val="auto"/>
          <w:sz w:val="32"/>
          <w:szCs w:val="32"/>
          <w:highlight w:val="none"/>
        </w:rPr>
        <w:t>不宜食用。</w:t>
      </w:r>
    </w:p>
    <w:p>
      <w:pPr>
        <w:pStyle w:val="15"/>
        <w:keepNext w:val="0"/>
        <w:keepLines w:val="0"/>
        <w:pageBreakBefore w:val="0"/>
        <w:widowControl w:val="0"/>
        <w:numPr>
          <w:ilvl w:val="-1"/>
          <w:numId w:val="0"/>
        </w:numPr>
        <w:kinsoku/>
        <w:wordWrap/>
        <w:overflowPunct/>
        <w:topLinePunct w:val="0"/>
        <w:autoSpaceDE/>
        <w:autoSpaceDN/>
        <w:bidi w:val="0"/>
        <w:adjustRightInd/>
        <w:snapToGrid/>
        <w:spacing w:before="0" w:beforeLines="0" w:after="0" w:afterLines="0" w:line="360" w:lineRule="auto"/>
        <w:ind w:firstLine="640" w:firstLineChars="200"/>
        <w:jc w:val="both"/>
        <w:textAlignment w:val="auto"/>
        <w:outlineLvl w:val="0"/>
        <w:rPr>
          <w:rFonts w:hint="eastAsia" w:ascii="黑体" w:hAnsi="黑体" w:eastAsia="黑体" w:cs="黑体"/>
          <w:b w:val="0"/>
          <w:bCs/>
          <w:color w:val="000000" w:themeColor="text1"/>
          <w:kern w:val="0"/>
          <w:sz w:val="32"/>
          <w:szCs w:val="32"/>
          <w:highlight w:val="none"/>
          <w14:textFill>
            <w14:solidFill>
              <w14:schemeClr w14:val="tx1"/>
            </w14:solidFill>
          </w14:textFill>
        </w:rPr>
      </w:pPr>
      <w:bookmarkStart w:id="43" w:name="_Toc15983"/>
      <w:bookmarkStart w:id="44" w:name="_Toc9643"/>
      <w:bookmarkStart w:id="45" w:name="_Toc17720"/>
      <w:r>
        <w:rPr>
          <w:rFonts w:hint="eastAsia" w:ascii="黑体" w:hAnsi="黑体" w:eastAsia="黑体" w:cs="黑体"/>
          <w:b w:val="0"/>
          <w:bCs/>
          <w:color w:val="000000" w:themeColor="text1"/>
          <w:kern w:val="0"/>
          <w:sz w:val="32"/>
          <w:szCs w:val="32"/>
          <w:highlight w:val="none"/>
          <w:lang w:val="en-US" w:eastAsia="zh-CN"/>
          <w14:textFill>
            <w14:solidFill>
              <w14:schemeClr w14:val="tx1"/>
            </w14:solidFill>
          </w14:textFill>
        </w:rPr>
        <w:t>六、</w:t>
      </w:r>
      <w:r>
        <w:rPr>
          <w:rFonts w:hint="eastAsia" w:ascii="黑体" w:hAnsi="黑体" w:eastAsia="黑体" w:cs="黑体"/>
          <w:b w:val="0"/>
          <w:bCs/>
          <w:color w:val="000000" w:themeColor="text1"/>
          <w:kern w:val="0"/>
          <w:sz w:val="32"/>
          <w:szCs w:val="32"/>
          <w:highlight w:val="none"/>
          <w14:textFill>
            <w14:solidFill>
              <w14:schemeClr w14:val="tx1"/>
            </w14:solidFill>
          </w14:textFill>
        </w:rPr>
        <w:t>征求意见的采纳情况，重大意见分歧的处理结果</w:t>
      </w:r>
      <w:bookmarkEnd w:id="43"/>
      <w:bookmarkEnd w:id="44"/>
      <w:bookmarkEnd w:id="45"/>
    </w:p>
    <w:p>
      <w:pPr>
        <w:pageBreakBefore w:val="0"/>
        <w:widowControl/>
        <w:numPr>
          <w:ilvl w:val="0"/>
          <w:numId w:val="0"/>
        </w:numPr>
        <w:kinsoku/>
        <w:wordWrap/>
        <w:overflowPunct/>
        <w:topLinePunct w:val="0"/>
        <w:bidi w:val="0"/>
        <w:snapToGrid/>
        <w:spacing w:beforeLines="-2147483648" w:afterLines="-2147483648" w:line="240" w:lineRule="auto"/>
        <w:ind w:firstLine="640" w:firstLineChars="200"/>
        <w:jc w:val="both"/>
        <w:textAlignment w:val="auto"/>
        <w:outlineLvl w:val="9"/>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color w:val="auto"/>
          <w:kern w:val="2"/>
          <w:sz w:val="32"/>
          <w:szCs w:val="32"/>
          <w:highlight w:val="none"/>
          <w:lang w:val="en-US" w:eastAsia="zh-CN"/>
        </w:rPr>
        <w:t>向省内相关监管部门、企业、相关单位、专家及生产小作坊发出征求意见表20份，收回20份，其中：监管部门2家，相关单位4家，乡（镇）4个，企业3家，村委会1个，村民小组1个，协会1个，加工厂1个，小作坊1个，专家2位。共收集征求意见反馈15条，反馈意见采纳3条、部分采纳1条，并作出针对性修改。</w:t>
      </w:r>
    </w:p>
    <w:p>
      <w:pPr>
        <w:pageBreakBefore w:val="0"/>
        <w:widowControl/>
        <w:numPr>
          <w:ilvl w:val="0"/>
          <w:numId w:val="0"/>
        </w:numPr>
        <w:kinsoku/>
        <w:wordWrap/>
        <w:overflowPunct/>
        <w:topLinePunct w:val="0"/>
        <w:bidi w:val="0"/>
        <w:snapToGrid/>
        <w:spacing w:beforeLines="-2147483648" w:afterLines="-2147483648" w:line="240" w:lineRule="auto"/>
        <w:ind w:firstLine="420" w:firstLineChars="0"/>
        <w:jc w:val="both"/>
        <w:textAlignment w:val="auto"/>
        <w:outlineLvl w:val="9"/>
        <w:rPr>
          <w:rFonts w:hint="eastAsia" w:ascii="仿宋_GB2312" w:hAnsi="仿宋_GB2312" w:eastAsia="仿宋_GB2312" w:cs="仿宋_GB2312"/>
          <w:kern w:val="2"/>
          <w:sz w:val="32"/>
          <w:szCs w:val="32"/>
          <w:lang w:val="en-US" w:eastAsia="zh-CN"/>
        </w:rPr>
      </w:pPr>
    </w:p>
    <w:p>
      <w:pPr>
        <w:pageBreakBefore w:val="0"/>
        <w:widowControl/>
        <w:numPr>
          <w:ilvl w:val="0"/>
          <w:numId w:val="0"/>
        </w:numPr>
        <w:kinsoku/>
        <w:wordWrap/>
        <w:overflowPunct/>
        <w:topLinePunct w:val="0"/>
        <w:bidi w:val="0"/>
        <w:snapToGrid/>
        <w:spacing w:beforeLines="-2147483648" w:afterLines="-2147483648" w:line="240" w:lineRule="auto"/>
        <w:ind w:firstLine="420" w:firstLineChars="0"/>
        <w:jc w:val="both"/>
        <w:textAlignment w:val="auto"/>
        <w:outlineLvl w:val="9"/>
        <w:rPr>
          <w:rFonts w:hint="eastAsia" w:ascii="仿宋_GB2312" w:hAnsi="仿宋_GB2312" w:eastAsia="仿宋_GB2312" w:cs="仿宋_GB2312"/>
          <w:color w:val="auto"/>
          <w:kern w:val="2"/>
          <w:sz w:val="32"/>
          <w:szCs w:val="32"/>
          <w:highlight w:val="none"/>
          <w:lang w:val="en-US" w:eastAsia="zh-CN"/>
        </w:rPr>
      </w:pPr>
    </w:p>
    <w:p>
      <w:pPr>
        <w:pageBreakBefore w:val="0"/>
        <w:widowControl/>
        <w:numPr>
          <w:ilvl w:val="0"/>
          <w:numId w:val="0"/>
        </w:numPr>
        <w:kinsoku/>
        <w:wordWrap/>
        <w:overflowPunct/>
        <w:topLinePunct w:val="0"/>
        <w:bidi w:val="0"/>
        <w:snapToGrid/>
        <w:spacing w:beforeLines="-2147483648" w:afterLines="-2147483648" w:line="240" w:lineRule="auto"/>
        <w:ind w:firstLine="420" w:firstLineChars="0"/>
        <w:jc w:val="both"/>
        <w:textAlignment w:val="auto"/>
        <w:outlineLvl w:val="9"/>
        <w:rPr>
          <w:rFonts w:hint="eastAsia" w:ascii="仿宋_GB2312" w:hAnsi="仿宋_GB2312" w:eastAsia="仿宋_GB2312" w:cs="仿宋_GB2312"/>
          <w:color w:val="auto"/>
          <w:kern w:val="2"/>
          <w:sz w:val="32"/>
          <w:szCs w:val="32"/>
          <w:highlight w:val="none"/>
          <w:lang w:val="en-US" w:eastAsia="zh-CN"/>
        </w:rPr>
      </w:pPr>
    </w:p>
    <w:p>
      <w:pPr>
        <w:pageBreakBefore w:val="0"/>
        <w:widowControl/>
        <w:numPr>
          <w:ilvl w:val="0"/>
          <w:numId w:val="0"/>
        </w:numPr>
        <w:kinsoku/>
        <w:wordWrap/>
        <w:overflowPunct/>
        <w:topLinePunct w:val="0"/>
        <w:bidi w:val="0"/>
        <w:snapToGrid/>
        <w:spacing w:beforeLines="-2147483648" w:afterLines="-2147483648" w:line="240" w:lineRule="auto"/>
        <w:ind w:firstLine="1280" w:firstLineChars="4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云南省</w:t>
      </w:r>
      <w:r>
        <w:rPr>
          <w:rFonts w:hint="eastAsia" w:ascii="仿宋_GB2312" w:hAnsi="仿宋_GB2312" w:eastAsia="仿宋_GB2312" w:cs="仿宋_GB2312"/>
          <w:color w:val="auto"/>
          <w:sz w:val="32"/>
          <w:szCs w:val="32"/>
          <w:highlight w:val="none"/>
        </w:rPr>
        <w:t xml:space="preserve">食品安全地方标准 </w:t>
      </w:r>
      <w:r>
        <w:rPr>
          <w:rFonts w:hint="eastAsia" w:ascii="仿宋_GB2312" w:hAnsi="仿宋_GB2312" w:eastAsia="仿宋_GB2312" w:cs="仿宋_GB2312"/>
          <w:color w:val="auto"/>
          <w:sz w:val="32"/>
          <w:szCs w:val="32"/>
          <w:highlight w:val="none"/>
          <w:lang w:val="en-US" w:eastAsia="zh-CN"/>
        </w:rPr>
        <w:t>滇皂荚米</w:t>
      </w:r>
      <w:r>
        <w:rPr>
          <w:rFonts w:hint="eastAsia" w:ascii="仿宋_GB2312" w:hAnsi="仿宋_GB2312" w:eastAsia="仿宋_GB2312" w:cs="仿宋_GB2312"/>
          <w:color w:val="auto"/>
          <w:sz w:val="32"/>
          <w:szCs w:val="32"/>
          <w:highlight w:val="none"/>
        </w:rPr>
        <w:t>》编写小组</w:t>
      </w:r>
    </w:p>
    <w:p>
      <w:pPr>
        <w:widowControl/>
        <w:numPr>
          <w:ilvl w:val="0"/>
          <w:numId w:val="0"/>
        </w:numPr>
        <w:spacing w:beforeLines="-2147483648" w:afterLines="-2147483648" w:line="240" w:lineRule="auto"/>
        <w:ind w:firstLine="420" w:firstLineChars="0"/>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color w:val="auto"/>
          <w:sz w:val="32"/>
          <w:szCs w:val="32"/>
          <w:highlight w:val="none"/>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2"/>
                            </w:rPr>
                          </w:pPr>
                          <w:r>
                            <w:rPr>
                              <w:rStyle w:val="12"/>
                            </w:rPr>
                            <w:fldChar w:fldCharType="begin"/>
                          </w:r>
                          <w:r>
                            <w:rPr>
                              <w:rStyle w:val="12"/>
                            </w:rPr>
                            <w:instrText xml:space="preserve">PAGE  </w:instrText>
                          </w:r>
                          <w:r>
                            <w:rPr>
                              <w:rStyle w:val="12"/>
                            </w:rPr>
                            <w:fldChar w:fldCharType="separate"/>
                          </w:r>
                          <w:r>
                            <w:rPr>
                              <w:rStyle w:val="12"/>
                            </w:rPr>
                            <w:t>2</w:t>
                          </w:r>
                          <w:r>
                            <w:rPr>
                              <w:rStyle w:val="1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fill on="f" focussize="0,0"/>
              <v:stroke on="f"/>
              <v:imagedata o:title=""/>
              <o:lock v:ext="edit" aspectratio="f"/>
              <v:textbox inset="0mm,0mm,0mm,0mm" style="mso-fit-shape-to-text:t;">
                <w:txbxContent>
                  <w:p>
                    <w:pPr>
                      <w:pStyle w:val="8"/>
                      <w:rPr>
                        <w:rStyle w:val="12"/>
                      </w:rPr>
                    </w:pPr>
                    <w:r>
                      <w:rPr>
                        <w:rStyle w:val="12"/>
                      </w:rPr>
                      <w:fldChar w:fldCharType="begin"/>
                    </w:r>
                    <w:r>
                      <w:rPr>
                        <w:rStyle w:val="12"/>
                      </w:rPr>
                      <w:instrText xml:space="preserve">PAGE  </w:instrText>
                    </w:r>
                    <w:r>
                      <w:rPr>
                        <w:rStyle w:val="12"/>
                      </w:rPr>
                      <w:fldChar w:fldCharType="separate"/>
                    </w:r>
                    <w:r>
                      <w:rPr>
                        <w:rStyle w:val="12"/>
                      </w:rPr>
                      <w:t>2</w:t>
                    </w:r>
                    <w:r>
                      <w:rPr>
                        <w:rStyle w:val="12"/>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18"/>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lOTY5NTk1NTc5MTY4NmYxMjg0ZjMxMjczODdkMmQifQ=="/>
  </w:docVars>
  <w:rsids>
    <w:rsidRoot w:val="419B3021"/>
    <w:rsid w:val="006D0D05"/>
    <w:rsid w:val="00A67B79"/>
    <w:rsid w:val="00FC2BA6"/>
    <w:rsid w:val="02170DB1"/>
    <w:rsid w:val="0310299C"/>
    <w:rsid w:val="03134F9B"/>
    <w:rsid w:val="037E0AF6"/>
    <w:rsid w:val="04272E41"/>
    <w:rsid w:val="04912ACD"/>
    <w:rsid w:val="050C59CA"/>
    <w:rsid w:val="064222D0"/>
    <w:rsid w:val="066C559F"/>
    <w:rsid w:val="066D09FB"/>
    <w:rsid w:val="06F622A5"/>
    <w:rsid w:val="09630D03"/>
    <w:rsid w:val="0B1D3EB9"/>
    <w:rsid w:val="0B1F52D6"/>
    <w:rsid w:val="0B635577"/>
    <w:rsid w:val="0C4841D7"/>
    <w:rsid w:val="0C64595B"/>
    <w:rsid w:val="0D370120"/>
    <w:rsid w:val="0EAB1C12"/>
    <w:rsid w:val="0F086ECB"/>
    <w:rsid w:val="1036740B"/>
    <w:rsid w:val="10A277C2"/>
    <w:rsid w:val="11594370"/>
    <w:rsid w:val="11F87E50"/>
    <w:rsid w:val="13EC2670"/>
    <w:rsid w:val="15545B7C"/>
    <w:rsid w:val="16994AA3"/>
    <w:rsid w:val="18B15EAC"/>
    <w:rsid w:val="1904700F"/>
    <w:rsid w:val="1AED31E3"/>
    <w:rsid w:val="1C61505F"/>
    <w:rsid w:val="1C695629"/>
    <w:rsid w:val="1C7B0E10"/>
    <w:rsid w:val="1CE30F07"/>
    <w:rsid w:val="1D9B3CA8"/>
    <w:rsid w:val="1E7533D9"/>
    <w:rsid w:val="1F1411ED"/>
    <w:rsid w:val="2141097D"/>
    <w:rsid w:val="21960235"/>
    <w:rsid w:val="21D27549"/>
    <w:rsid w:val="22236AA9"/>
    <w:rsid w:val="24544F7C"/>
    <w:rsid w:val="262310DE"/>
    <w:rsid w:val="266A413F"/>
    <w:rsid w:val="27701077"/>
    <w:rsid w:val="28BC5ABB"/>
    <w:rsid w:val="28FF08A4"/>
    <w:rsid w:val="29D82DC8"/>
    <w:rsid w:val="2B350011"/>
    <w:rsid w:val="2B5C6CCB"/>
    <w:rsid w:val="2C4129B6"/>
    <w:rsid w:val="2C7E6109"/>
    <w:rsid w:val="2DC859A1"/>
    <w:rsid w:val="2E6E3CFB"/>
    <w:rsid w:val="2ED5469D"/>
    <w:rsid w:val="2ED557EE"/>
    <w:rsid w:val="30D97E9C"/>
    <w:rsid w:val="30F5439C"/>
    <w:rsid w:val="312B758A"/>
    <w:rsid w:val="318E6273"/>
    <w:rsid w:val="31F24996"/>
    <w:rsid w:val="32B819E9"/>
    <w:rsid w:val="33574953"/>
    <w:rsid w:val="336958C1"/>
    <w:rsid w:val="33D32762"/>
    <w:rsid w:val="34301CF4"/>
    <w:rsid w:val="34CC342B"/>
    <w:rsid w:val="357A54D3"/>
    <w:rsid w:val="3924200D"/>
    <w:rsid w:val="3AAD4B73"/>
    <w:rsid w:val="3C695466"/>
    <w:rsid w:val="3E61465A"/>
    <w:rsid w:val="3F4D3B13"/>
    <w:rsid w:val="3FA94B93"/>
    <w:rsid w:val="3FF37BBC"/>
    <w:rsid w:val="403A6545"/>
    <w:rsid w:val="405F0FEC"/>
    <w:rsid w:val="419B3021"/>
    <w:rsid w:val="41EF1153"/>
    <w:rsid w:val="43F80648"/>
    <w:rsid w:val="4481665A"/>
    <w:rsid w:val="450572E1"/>
    <w:rsid w:val="453A003B"/>
    <w:rsid w:val="45863281"/>
    <w:rsid w:val="45D05728"/>
    <w:rsid w:val="45D31723"/>
    <w:rsid w:val="4635185D"/>
    <w:rsid w:val="466806EB"/>
    <w:rsid w:val="46BD2CD2"/>
    <w:rsid w:val="47176706"/>
    <w:rsid w:val="473933C9"/>
    <w:rsid w:val="48B32931"/>
    <w:rsid w:val="49344461"/>
    <w:rsid w:val="498D6D42"/>
    <w:rsid w:val="4BE66C5C"/>
    <w:rsid w:val="4C426BF4"/>
    <w:rsid w:val="4C985CF9"/>
    <w:rsid w:val="4CF62845"/>
    <w:rsid w:val="4DD814FB"/>
    <w:rsid w:val="4F3B4AAB"/>
    <w:rsid w:val="52267196"/>
    <w:rsid w:val="52817B8F"/>
    <w:rsid w:val="52D551DB"/>
    <w:rsid w:val="55326BFE"/>
    <w:rsid w:val="576A0C54"/>
    <w:rsid w:val="57E577FA"/>
    <w:rsid w:val="5870229A"/>
    <w:rsid w:val="58AC40AF"/>
    <w:rsid w:val="58BA4EE8"/>
    <w:rsid w:val="59F17699"/>
    <w:rsid w:val="5A1E4E2C"/>
    <w:rsid w:val="5D607EB0"/>
    <w:rsid w:val="5D980EB8"/>
    <w:rsid w:val="5DEE7169"/>
    <w:rsid w:val="5DF91363"/>
    <w:rsid w:val="5E34040F"/>
    <w:rsid w:val="60355659"/>
    <w:rsid w:val="60487659"/>
    <w:rsid w:val="618F6DE0"/>
    <w:rsid w:val="626C3AD2"/>
    <w:rsid w:val="642C0047"/>
    <w:rsid w:val="643E4A60"/>
    <w:rsid w:val="67136C12"/>
    <w:rsid w:val="67A2168F"/>
    <w:rsid w:val="680636E8"/>
    <w:rsid w:val="681D13CB"/>
    <w:rsid w:val="68765412"/>
    <w:rsid w:val="692073A7"/>
    <w:rsid w:val="696D279F"/>
    <w:rsid w:val="69752539"/>
    <w:rsid w:val="6BE31796"/>
    <w:rsid w:val="6C1B2E3F"/>
    <w:rsid w:val="6CA2533F"/>
    <w:rsid w:val="6D5C18EE"/>
    <w:rsid w:val="6E4D0BC8"/>
    <w:rsid w:val="725503A1"/>
    <w:rsid w:val="73873569"/>
    <w:rsid w:val="73C7578E"/>
    <w:rsid w:val="75E1250B"/>
    <w:rsid w:val="779418F6"/>
    <w:rsid w:val="779A6594"/>
    <w:rsid w:val="77EA6E9A"/>
    <w:rsid w:val="77ED2DBF"/>
    <w:rsid w:val="791B321C"/>
    <w:rsid w:val="792141B4"/>
    <w:rsid w:val="79AD1818"/>
    <w:rsid w:val="79FE5975"/>
    <w:rsid w:val="7A8F6158"/>
    <w:rsid w:val="7AB9376A"/>
    <w:rsid w:val="7CF31EBB"/>
    <w:rsid w:val="7D36360E"/>
    <w:rsid w:val="7E966CB8"/>
    <w:rsid w:val="7EDF4AB7"/>
    <w:rsid w:val="7EE5320F"/>
    <w:rsid w:val="7F1D4873"/>
    <w:rsid w:val="7FE01ACC"/>
    <w:rsid w:val="FF76F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ind w:firstLine="321" w:firstLineChars="200"/>
      <w:jc w:val="left"/>
      <w:outlineLvl w:val="0"/>
    </w:pPr>
    <w:rPr>
      <w:b/>
      <w:bCs/>
      <w:sz w:val="16"/>
      <w:szCs w:val="1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keepNext/>
      <w:keepLines/>
      <w:ind w:firstLine="0" w:firstLineChars="0"/>
      <w:outlineLvl w:val="2"/>
    </w:pPr>
    <w:rPr>
      <w:b/>
      <w:bCs/>
      <w:szCs w:val="32"/>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Normal Indent"/>
    <w:basedOn w:val="1"/>
    <w:qFormat/>
    <w:uiPriority w:val="0"/>
    <w:pPr>
      <w:ind w:firstLine="420" w:firstLineChars="200"/>
    </w:pPr>
    <w:rPr>
      <w:rFonts w:ascii="Times New Roman" w:hAnsi="Times New Roman" w:eastAsia="宋体" w:cs="Times New Roman"/>
    </w:rPr>
  </w:style>
  <w:style w:type="paragraph" w:styleId="6">
    <w:name w:val="annotation text"/>
    <w:basedOn w:val="1"/>
    <w:qFormat/>
    <w:uiPriority w:val="0"/>
    <w:pPr>
      <w:jc w:val="left"/>
    </w:pPr>
  </w:style>
  <w:style w:type="paragraph" w:styleId="7">
    <w:name w:val="Body Text"/>
    <w:basedOn w:val="1"/>
    <w:semiHidden/>
    <w:qFormat/>
    <w:uiPriority w:val="0"/>
    <w:rPr>
      <w:rFonts w:ascii="宋体" w:hAnsi="宋体" w:eastAsia="宋体" w:cs="宋体"/>
      <w:sz w:val="24"/>
      <w:szCs w:val="24"/>
      <w:lang w:val="en-US" w:eastAsia="en-US"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character" w:styleId="12">
    <w:name w:val="page number"/>
    <w:basedOn w:val="11"/>
    <w:qFormat/>
    <w:uiPriority w:val="0"/>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1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styleId="16">
    <w:name w:val="List Paragraph"/>
    <w:basedOn w:val="1"/>
    <w:qFormat/>
    <w:uiPriority w:val="34"/>
    <w:pPr>
      <w:ind w:firstLine="420" w:firstLineChars="200"/>
    </w:pPr>
  </w:style>
  <w:style w:type="character" w:customStyle="1" w:styleId="17">
    <w:name w:val="_Style 2"/>
    <w:qFormat/>
    <w:uiPriority w:val="19"/>
    <w:rPr>
      <w:rFonts w:ascii="Times New Roman" w:hAnsi="Times New Roman" w:eastAsia="宋体"/>
      <w:iCs/>
      <w:color w:val="404040"/>
      <w:sz w:val="20"/>
    </w:rPr>
  </w:style>
  <w:style w:type="paragraph" w:customStyle="1" w:styleId="18">
    <w:name w:val="章标题"/>
    <w:next w:val="19"/>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1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2793</Words>
  <Characters>3109</Characters>
  <Lines>0</Lines>
  <Paragraphs>0</Paragraphs>
  <TotalTime>12</TotalTime>
  <ScaleCrop>false</ScaleCrop>
  <LinksUpToDate>false</LinksUpToDate>
  <CharactersWithSpaces>3177</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2025-06-26T22:49:00Z</dcterms:created>
  <dc:creator>Administrator</dc:creator>
  <cp:lastModifiedBy>刘亚超</cp:lastModifiedBy>
  <cp:lastPrinted>2025-11-04T23:04:00Z</cp:lastPrinted>
  <dcterms:modified xsi:type="dcterms:W3CDTF">2025-12-29T08:25:12Z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5D8BEF344FD84A17A04AC8B4CFBEC401_13</vt:lpwstr>
  </property>
  <property fmtid="{D5CDD505-2E9C-101B-9397-08002B2CF9AE}" pid="4" name="KSOTemplateDocerSaveRecord">
    <vt:lpwstr>eyJoZGlkIjoiNzhhNDA4MjNmMGUzYWFjYWMyNTY0YTg5M2RhZDM0NDciLCJ1c2VySWQiOiIxNTg0MTE0OTM0In0=</vt:lpwstr>
  </property>
</Properties>
</file>