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《云南省食品安全地方标准 乳扇》</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编制说明（征求意见稿）</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_GBK" w:hAnsi="方正小标宋_GBK" w:eastAsia="方正小标宋_GBK" w:cs="方正小标宋_GBK"/>
          <w:sz w:val="44"/>
          <w:szCs w:val="44"/>
        </w:rPr>
      </w:pPr>
    </w:p>
    <w:p>
      <w:pPr>
        <w:spacing w:line="360" w:lineRule="auto"/>
        <w:ind w:firstLine="640" w:firstLineChars="200"/>
        <w:jc w:val="both"/>
        <w:rPr>
          <w:rFonts w:hint="eastAsia" w:ascii="黑体" w:hAnsi="黑体" w:eastAsia="黑体" w:cs="黑体"/>
          <w:b w:val="0"/>
          <w:bCs/>
          <w:sz w:val="32"/>
          <w:szCs w:val="32"/>
        </w:rPr>
      </w:pPr>
      <w:r>
        <w:rPr>
          <w:rFonts w:hint="eastAsia" w:ascii="黑体" w:hAnsi="黑体" w:eastAsia="黑体" w:cs="黑体"/>
          <w:b w:val="0"/>
          <w:bCs/>
          <w:sz w:val="32"/>
          <w:szCs w:val="32"/>
        </w:rPr>
        <w:t>一、任务来源，起草单位，协作单位，主要起草人</w:t>
      </w:r>
    </w:p>
    <w:p>
      <w:pPr>
        <w:spacing w:line="360" w:lineRule="auto"/>
        <w:ind w:firstLine="640" w:firstLineChars="200"/>
        <w:jc w:val="both"/>
        <w:rPr>
          <w:rFonts w:hint="eastAsia" w:ascii="楷体" w:hAnsi="楷体" w:eastAsia="楷体" w:cs="楷体"/>
          <w:b w:val="0"/>
          <w:bCs/>
          <w:color w:val="000000" w:themeColor="text1"/>
          <w:kern w:val="0"/>
          <w:sz w:val="32"/>
          <w:szCs w:val="32"/>
          <w:highlight w:val="none"/>
          <w:lang w:val="en-US" w:eastAsia="zh-CN" w:bidi="ar-SA"/>
        </w:rPr>
      </w:pPr>
      <w:r>
        <w:rPr>
          <w:rFonts w:hint="eastAsia" w:ascii="楷体" w:hAnsi="楷体" w:eastAsia="楷体" w:cs="楷体"/>
          <w:b w:val="0"/>
          <w:bCs/>
          <w:color w:val="000000" w:themeColor="text1"/>
          <w:kern w:val="0"/>
          <w:sz w:val="32"/>
          <w:szCs w:val="32"/>
          <w:highlight w:val="none"/>
          <w:lang w:val="en-US" w:eastAsia="zh-CN" w:bidi="ar-SA"/>
        </w:rPr>
        <w:t>（一）任务来源</w:t>
      </w:r>
    </w:p>
    <w:p>
      <w:pPr>
        <w:spacing w:line="360" w:lineRule="auto"/>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根据《中华人民共和国食品安全法》及其实施条例和《食品安全标准管理办法》</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规定，《云南省食品安全地方标准 乳扇》列入2023年云南省食品安全地方标准计划项目（云卫[2023] DB0010）。</w:t>
      </w:r>
    </w:p>
    <w:p>
      <w:pPr>
        <w:pStyle w:val="2"/>
        <w:pageBreakBefore w:val="0"/>
        <w:kinsoku/>
        <w:wordWrap/>
        <w:overflowPunct/>
        <w:topLinePunct w:val="0"/>
        <w:bidi w:val="0"/>
        <w:snapToGrid/>
        <w:spacing w:before="0" w:beforeLines="0" w:after="0" w:afterLines="0" w:line="360" w:lineRule="auto"/>
        <w:ind w:firstLine="640" w:firstLineChars="200"/>
        <w:jc w:val="both"/>
        <w:textAlignment w:val="auto"/>
        <w:rPr>
          <w:rFonts w:hint="eastAsia" w:ascii="楷体" w:hAnsi="楷体" w:eastAsia="楷体" w:cs="楷体"/>
          <w:b w:val="0"/>
          <w:bCs/>
          <w:color w:val="000000" w:themeColor="text1"/>
          <w:kern w:val="0"/>
          <w:sz w:val="32"/>
          <w:szCs w:val="32"/>
          <w:highlight w:val="none"/>
          <w:lang w:val="en-US" w:eastAsia="zh-CN"/>
        </w:rPr>
      </w:pPr>
      <w:r>
        <w:rPr>
          <w:rFonts w:hint="eastAsia" w:ascii="楷体" w:hAnsi="楷体" w:eastAsia="楷体" w:cs="楷体"/>
          <w:b w:val="0"/>
          <w:bCs/>
          <w:color w:val="000000" w:themeColor="text1"/>
          <w:kern w:val="0"/>
          <w:sz w:val="32"/>
          <w:szCs w:val="32"/>
          <w:highlight w:val="none"/>
          <w:lang w:val="en-US" w:eastAsia="zh-CN"/>
        </w:rPr>
        <w:t>（二）起草单位</w:t>
      </w:r>
    </w:p>
    <w:p>
      <w:pPr>
        <w:spacing w:line="360" w:lineRule="auto"/>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本标准承担单位大理白族自治州检验检测院（原大理州质量技术监督综合检测中心</w:t>
      </w:r>
      <w:r>
        <w:rPr>
          <w:rFonts w:hint="eastAsia" w:ascii="仿宋_GB2312" w:hAnsi="仿宋_GB2312" w:eastAsia="仿宋_GB2312" w:cs="仿宋_GB2312"/>
          <w:sz w:val="32"/>
          <w:szCs w:val="32"/>
          <w:lang w:val="en-US" w:eastAsia="zh-CN"/>
        </w:rPr>
        <w:t>,以下简称大理院</w:t>
      </w:r>
      <w:r>
        <w:rPr>
          <w:rFonts w:hint="eastAsia" w:ascii="仿宋_GB2312" w:hAnsi="仿宋_GB2312" w:eastAsia="仿宋_GB2312" w:cs="仿宋_GB2312"/>
          <w:sz w:val="32"/>
          <w:szCs w:val="32"/>
          <w:lang w:eastAsia="zh-CN"/>
        </w:rPr>
        <w:t>），协作单位云南省产品质量监督检验研究院（以下简称省质检院）。</w:t>
      </w:r>
    </w:p>
    <w:p>
      <w:pPr>
        <w:pStyle w:val="2"/>
        <w:pageBreakBefore w:val="0"/>
        <w:kinsoku/>
        <w:wordWrap/>
        <w:overflowPunct/>
        <w:topLinePunct w:val="0"/>
        <w:bidi w:val="0"/>
        <w:snapToGrid/>
        <w:spacing w:before="0" w:beforeLines="0" w:after="0" w:afterLines="0" w:line="360" w:lineRule="auto"/>
        <w:ind w:firstLine="640" w:firstLineChars="200"/>
        <w:jc w:val="both"/>
        <w:textAlignment w:val="auto"/>
        <w:rPr>
          <w:rFonts w:hint="eastAsia" w:ascii="楷体" w:hAnsi="楷体" w:eastAsia="楷体" w:cs="楷体"/>
          <w:b w:val="0"/>
          <w:bCs/>
          <w:color w:val="000000" w:themeColor="text1"/>
          <w:kern w:val="0"/>
          <w:sz w:val="32"/>
          <w:szCs w:val="32"/>
          <w:highlight w:val="none"/>
          <w:lang w:val="en-US" w:eastAsia="zh-CN"/>
        </w:rPr>
      </w:pPr>
      <w:r>
        <w:rPr>
          <w:rFonts w:hint="eastAsia" w:ascii="楷体" w:hAnsi="楷体" w:eastAsia="楷体" w:cs="楷体"/>
          <w:b w:val="0"/>
          <w:bCs/>
          <w:color w:val="000000" w:themeColor="text1"/>
          <w:kern w:val="0"/>
          <w:sz w:val="32"/>
          <w:szCs w:val="32"/>
          <w:highlight w:val="none"/>
          <w:lang w:val="en-US" w:eastAsia="zh-CN"/>
        </w:rPr>
        <w:t>（三）主要起草人及参与人</w:t>
      </w:r>
    </w:p>
    <w:p>
      <w:pPr>
        <w:keepNext w:val="0"/>
        <w:keepLines w:val="0"/>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仿宋_GB2312" w:hAnsi="仿宋_GB2312" w:eastAsia="仿宋_GB2312" w:cs="仿宋_GB2312"/>
          <w:b w:val="0"/>
          <w:bCs w:val="0"/>
          <w:sz w:val="32"/>
          <w:szCs w:val="32"/>
          <w:shd w:val="clear"/>
          <w:lang w:eastAsia="zh-CN"/>
        </w:rPr>
      </w:pPr>
      <w:r>
        <w:rPr>
          <w:rFonts w:hint="eastAsia" w:ascii="仿宋_GB2312" w:hAnsi="仿宋_GB2312" w:eastAsia="仿宋_GB2312" w:cs="仿宋_GB2312"/>
          <w:b w:val="0"/>
          <w:bCs w:val="0"/>
          <w:sz w:val="32"/>
          <w:szCs w:val="32"/>
          <w:shd w:val="clear"/>
        </w:rPr>
        <w:t>杨卫花、舒平、徐幸、赵浩军、王亚琴</w:t>
      </w:r>
      <w:r>
        <w:rPr>
          <w:rFonts w:hint="eastAsia" w:ascii="仿宋_GB2312" w:hAnsi="仿宋_GB2312" w:eastAsia="仿宋_GB2312" w:cs="仿宋_GB2312"/>
          <w:b w:val="0"/>
          <w:bCs w:val="0"/>
          <w:sz w:val="32"/>
          <w:szCs w:val="32"/>
          <w:shd w:val="clear"/>
          <w:lang w:eastAsia="zh-CN"/>
        </w:rPr>
        <w:t>（省质检院）</w:t>
      </w:r>
      <w:r>
        <w:rPr>
          <w:rFonts w:hint="eastAsia" w:ascii="仿宋_GB2312" w:hAnsi="仿宋_GB2312" w:eastAsia="仿宋_GB2312" w:cs="仿宋_GB2312"/>
          <w:b w:val="0"/>
          <w:bCs w:val="0"/>
          <w:sz w:val="32"/>
          <w:szCs w:val="32"/>
          <w:shd w:val="clear"/>
        </w:rPr>
        <w:t>、张燕、祝红昆</w:t>
      </w:r>
      <w:r>
        <w:rPr>
          <w:rFonts w:hint="eastAsia" w:ascii="仿宋_GB2312" w:hAnsi="仿宋_GB2312" w:eastAsia="仿宋_GB2312" w:cs="仿宋_GB2312"/>
          <w:b w:val="0"/>
          <w:bCs w:val="0"/>
          <w:sz w:val="32"/>
          <w:szCs w:val="32"/>
          <w:shd w:val="clear"/>
          <w:lang w:eastAsia="zh-CN"/>
        </w:rPr>
        <w:t>（省质检院）、</w:t>
      </w:r>
      <w:r>
        <w:rPr>
          <w:rFonts w:hint="eastAsia" w:ascii="仿宋_GB2312" w:hAnsi="仿宋_GB2312" w:eastAsia="仿宋_GB2312" w:cs="仿宋_GB2312"/>
          <w:b w:val="0"/>
          <w:bCs w:val="0"/>
          <w:sz w:val="32"/>
          <w:szCs w:val="32"/>
          <w:shd w:val="clear"/>
        </w:rPr>
        <w:t>陈朋云、张妮妮、杨朝义、刘飞</w:t>
      </w:r>
      <w:r>
        <w:rPr>
          <w:rFonts w:hint="eastAsia" w:ascii="仿宋_GB2312" w:hAnsi="仿宋_GB2312" w:eastAsia="仿宋_GB2312" w:cs="仿宋_GB2312"/>
          <w:b w:val="0"/>
          <w:bCs w:val="0"/>
          <w:sz w:val="32"/>
          <w:szCs w:val="32"/>
          <w:shd w:val="clear"/>
          <w:lang w:eastAsia="zh-CN"/>
        </w:rPr>
        <w:t>、杨吉玉、郭启新、</w:t>
      </w:r>
      <w:r>
        <w:rPr>
          <w:rFonts w:hint="eastAsia" w:ascii="仿宋_GB2312" w:hAnsi="仿宋_GB2312" w:eastAsia="仿宋_GB2312" w:cs="仿宋_GB2312"/>
          <w:b w:val="0"/>
          <w:bCs w:val="0"/>
          <w:sz w:val="32"/>
          <w:szCs w:val="32"/>
          <w:shd w:val="clear"/>
        </w:rPr>
        <w:t>马雪涛</w:t>
      </w:r>
      <w:r>
        <w:rPr>
          <w:rFonts w:hint="eastAsia" w:ascii="仿宋_GB2312" w:hAnsi="仿宋_GB2312" w:eastAsia="仿宋_GB2312" w:cs="仿宋_GB2312"/>
          <w:b w:val="0"/>
          <w:bCs w:val="0"/>
          <w:sz w:val="32"/>
          <w:szCs w:val="32"/>
          <w:shd w:val="clear"/>
          <w:lang w:eastAsia="zh-CN"/>
        </w:rPr>
        <w:t>（省质检院）</w:t>
      </w:r>
      <w:r>
        <w:rPr>
          <w:rFonts w:hint="eastAsia" w:ascii="仿宋_GB2312" w:hAnsi="仿宋_GB2312" w:eastAsia="仿宋_GB2312" w:cs="仿宋_GB2312"/>
          <w:b w:val="0"/>
          <w:bCs w:val="0"/>
          <w:sz w:val="32"/>
          <w:szCs w:val="32"/>
          <w:shd w:val="clear"/>
        </w:rPr>
        <w:t>、</w:t>
      </w:r>
      <w:r>
        <w:rPr>
          <w:rFonts w:hint="eastAsia" w:ascii="仿宋_GB2312" w:hAnsi="仿宋_GB2312" w:eastAsia="仿宋_GB2312" w:cs="仿宋_GB2312"/>
          <w:b w:val="0"/>
          <w:bCs w:val="0"/>
          <w:sz w:val="32"/>
          <w:szCs w:val="32"/>
          <w:shd w:val="clear"/>
          <w:lang w:eastAsia="zh-CN"/>
        </w:rPr>
        <w:t>赵海云、</w:t>
      </w:r>
      <w:r>
        <w:rPr>
          <w:rFonts w:hint="eastAsia" w:ascii="仿宋_GB2312" w:hAnsi="仿宋_GB2312" w:eastAsia="仿宋_GB2312" w:cs="仿宋_GB2312"/>
          <w:b w:val="0"/>
          <w:bCs w:val="0"/>
          <w:sz w:val="32"/>
          <w:szCs w:val="32"/>
          <w:shd w:val="clear"/>
        </w:rPr>
        <w:t>牛之瑞</w:t>
      </w:r>
      <w:r>
        <w:rPr>
          <w:rFonts w:hint="eastAsia" w:ascii="仿宋_GB2312" w:hAnsi="仿宋_GB2312" w:eastAsia="仿宋_GB2312" w:cs="仿宋_GB2312"/>
          <w:b w:val="0"/>
          <w:bCs w:val="0"/>
          <w:sz w:val="32"/>
          <w:szCs w:val="32"/>
          <w:shd w:val="clear"/>
          <w:lang w:eastAsia="zh-CN"/>
        </w:rPr>
        <w:t>（省质检院）</w:t>
      </w:r>
      <w:r>
        <w:rPr>
          <w:rFonts w:hint="eastAsia" w:ascii="仿宋_GB2312" w:hAnsi="仿宋_GB2312" w:eastAsia="仿宋_GB2312" w:cs="仿宋_GB2312"/>
          <w:b w:val="0"/>
          <w:bCs w:val="0"/>
          <w:sz w:val="32"/>
          <w:szCs w:val="32"/>
          <w:shd w:val="clear"/>
        </w:rPr>
        <w:t>。</w:t>
      </w:r>
    </w:p>
    <w:p>
      <w:pPr>
        <w:spacing w:line="360" w:lineRule="auto"/>
        <w:ind w:firstLine="627" w:firstLineChars="196"/>
        <w:jc w:val="both"/>
        <w:rPr>
          <w:rFonts w:hint="eastAsia" w:ascii="黑体" w:hAnsi="黑体" w:eastAsia="黑体" w:cs="黑体"/>
          <w:b w:val="0"/>
          <w:bCs/>
          <w:sz w:val="32"/>
          <w:szCs w:val="32"/>
        </w:rPr>
      </w:pPr>
      <w:r>
        <w:rPr>
          <w:rFonts w:hint="eastAsia" w:ascii="黑体" w:hAnsi="黑体" w:eastAsia="黑体" w:cs="黑体"/>
          <w:b w:val="0"/>
          <w:bCs/>
          <w:sz w:val="32"/>
          <w:szCs w:val="32"/>
        </w:rPr>
        <w:t>二、制（修）订标准的必要性和意义</w:t>
      </w:r>
    </w:p>
    <w:p>
      <w:pPr>
        <w:keepNext w:val="0"/>
        <w:keepLines w:val="0"/>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仿宋_GB2312" w:hAnsi="仿宋_GB2312" w:eastAsia="仿宋_GB2312" w:cs="仿宋_GB2312"/>
          <w:b w:val="0"/>
          <w:bCs w:val="0"/>
          <w:sz w:val="32"/>
          <w:szCs w:val="32"/>
          <w:shd w:val="clear"/>
        </w:rPr>
      </w:pPr>
      <w:r>
        <w:rPr>
          <w:rFonts w:hint="eastAsia" w:ascii="仿宋_GB2312" w:hAnsi="仿宋_GB2312" w:eastAsia="仿宋_GB2312" w:cs="仿宋_GB2312"/>
          <w:b w:val="0"/>
          <w:bCs w:val="0"/>
          <w:sz w:val="32"/>
          <w:szCs w:val="32"/>
          <w:shd w:val="clear"/>
          <w:lang w:eastAsia="zh-CN"/>
        </w:rPr>
        <w:t>乳扇在云南大理地区制作食用已有</w:t>
      </w:r>
      <w:r>
        <w:rPr>
          <w:rFonts w:hint="eastAsia" w:ascii="仿宋_GB2312" w:hAnsi="仿宋_GB2312" w:eastAsia="仿宋_GB2312" w:cs="仿宋_GB2312"/>
          <w:b w:val="0"/>
          <w:bCs w:val="0"/>
          <w:sz w:val="32"/>
          <w:szCs w:val="32"/>
          <w:shd w:val="clear"/>
          <w:lang w:val="en-US" w:eastAsia="zh-CN"/>
        </w:rPr>
        <w:t>500年</w:t>
      </w:r>
      <w:r>
        <w:rPr>
          <w:rFonts w:hint="eastAsia" w:ascii="仿宋_GB2312" w:hAnsi="仿宋_GB2312" w:eastAsia="仿宋_GB2312" w:cs="仿宋_GB2312"/>
          <w:b w:val="0"/>
          <w:bCs w:val="0"/>
          <w:sz w:val="32"/>
          <w:szCs w:val="32"/>
          <w:shd w:val="clear"/>
          <w:lang w:eastAsia="zh-CN"/>
        </w:rPr>
        <w:t>的历史，是</w:t>
      </w:r>
      <w:r>
        <w:rPr>
          <w:rFonts w:hint="eastAsia" w:ascii="仿宋_GB2312" w:hAnsi="仿宋_GB2312" w:eastAsia="仿宋_GB2312" w:cs="仿宋_GB2312"/>
          <w:b w:val="0"/>
          <w:bCs w:val="0"/>
          <w:sz w:val="32"/>
          <w:szCs w:val="32"/>
          <w:shd w:val="clear"/>
        </w:rPr>
        <w:t>云南大理白族以</w:t>
      </w:r>
      <w:r>
        <w:rPr>
          <w:rFonts w:hint="eastAsia" w:ascii="仿宋_GB2312" w:hAnsi="仿宋_GB2312" w:eastAsia="仿宋_GB2312" w:cs="仿宋_GB2312"/>
          <w:b w:val="0"/>
          <w:bCs w:val="0"/>
          <w:sz w:val="32"/>
          <w:szCs w:val="32"/>
          <w:shd w:val="clear"/>
          <w:lang w:eastAsia="zh-CN"/>
        </w:rPr>
        <w:t>生</w:t>
      </w:r>
      <w:r>
        <w:rPr>
          <w:rFonts w:hint="eastAsia" w:ascii="仿宋_GB2312" w:hAnsi="仿宋_GB2312" w:eastAsia="仿宋_GB2312" w:cs="仿宋_GB2312"/>
          <w:b w:val="0"/>
          <w:bCs w:val="0"/>
          <w:sz w:val="32"/>
          <w:szCs w:val="32"/>
          <w:shd w:val="clear"/>
        </w:rPr>
        <w:t>牛</w:t>
      </w:r>
      <w:r>
        <w:rPr>
          <w:rFonts w:hint="eastAsia" w:ascii="仿宋_GB2312" w:hAnsi="仿宋_GB2312" w:eastAsia="仿宋_GB2312" w:cs="仿宋_GB2312"/>
          <w:b w:val="0"/>
          <w:bCs w:val="0"/>
          <w:sz w:val="32"/>
          <w:szCs w:val="32"/>
          <w:shd w:val="clear"/>
          <w:lang w:eastAsia="zh-CN"/>
        </w:rPr>
        <w:t>乳</w:t>
      </w:r>
      <w:r>
        <w:rPr>
          <w:rFonts w:hint="eastAsia" w:ascii="仿宋_GB2312" w:hAnsi="仿宋_GB2312" w:eastAsia="仿宋_GB2312" w:cs="仿宋_GB2312"/>
          <w:b w:val="0"/>
          <w:bCs w:val="0"/>
          <w:sz w:val="32"/>
          <w:szCs w:val="32"/>
          <w:shd w:val="clear"/>
        </w:rPr>
        <w:t>经过传统手工工艺制作的一种</w:t>
      </w:r>
      <w:r>
        <w:rPr>
          <w:rFonts w:hint="eastAsia" w:ascii="仿宋_GB2312" w:hAnsi="仿宋_GB2312" w:eastAsia="仿宋_GB2312" w:cs="仿宋_GB2312"/>
          <w:b w:val="0"/>
          <w:bCs w:val="0"/>
          <w:sz w:val="32"/>
          <w:szCs w:val="32"/>
          <w:shd w:val="clear"/>
          <w:lang w:eastAsia="zh-CN"/>
        </w:rPr>
        <w:t>特色</w:t>
      </w:r>
      <w:r>
        <w:rPr>
          <w:rFonts w:hint="eastAsia" w:ascii="仿宋_GB2312" w:hAnsi="仿宋_GB2312" w:eastAsia="仿宋_GB2312" w:cs="仿宋_GB2312"/>
          <w:b w:val="0"/>
          <w:bCs w:val="0"/>
          <w:sz w:val="32"/>
          <w:szCs w:val="32"/>
          <w:shd w:val="clear"/>
        </w:rPr>
        <w:t>乳制品</w:t>
      </w:r>
      <w:r>
        <w:rPr>
          <w:rFonts w:hint="eastAsia" w:ascii="仿宋_GB2312" w:hAnsi="仿宋_GB2312" w:eastAsia="仿宋_GB2312" w:cs="仿宋_GB2312"/>
          <w:b w:val="0"/>
          <w:bCs w:val="0"/>
          <w:sz w:val="32"/>
          <w:szCs w:val="32"/>
          <w:shd w:val="clear"/>
          <w:lang w:eastAsia="zh-CN"/>
        </w:rPr>
        <w:t>，乳扇制作也被列入“云南省级非物质文化遗产代表性项目名录”。“云南十八怪，牛奶做成片片卖” 的俗语生动形象地描绘了乳扇的独特形态和制作工艺，成为大理饮食文化对外传播的一张响亮名片。在当地，乳扇不仅是一种美食，更是人们日常生活、节庆典礼、婚丧嫁娶等场合不可或缺的重要元素，承载着白族人民的情感与记忆</w:t>
      </w:r>
      <w:r>
        <w:rPr>
          <w:rFonts w:hint="eastAsia" w:ascii="仿宋_GB2312" w:hAnsi="仿宋_GB2312" w:eastAsia="仿宋_GB2312" w:cs="仿宋_GB2312"/>
          <w:b w:val="0"/>
          <w:bCs w:val="0"/>
          <w:sz w:val="32"/>
          <w:szCs w:val="32"/>
          <w:shd w:val="clear"/>
          <w:lang w:val="en-US" w:eastAsia="zh-CN"/>
        </w:rPr>
        <w:t>,</w:t>
      </w:r>
      <w:r>
        <w:rPr>
          <w:rFonts w:hint="eastAsia" w:ascii="仿宋_GB2312" w:hAnsi="仿宋_GB2312" w:eastAsia="仿宋_GB2312" w:cs="仿宋_GB2312"/>
          <w:b w:val="0"/>
          <w:bCs w:val="0"/>
          <w:sz w:val="32"/>
          <w:szCs w:val="32"/>
          <w:shd w:val="clear"/>
        </w:rPr>
        <w:t>特别是《舌尖上的中国》对其专门介绍后，更是成为百姓追捧的对象。</w:t>
      </w:r>
    </w:p>
    <w:p>
      <w:pPr>
        <w:keepNext w:val="0"/>
        <w:keepLines w:val="0"/>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仿宋_GB2312" w:hAnsi="仿宋_GB2312" w:eastAsia="仿宋_GB2312" w:cs="仿宋_GB2312"/>
          <w:b w:val="0"/>
          <w:bCs w:val="0"/>
          <w:sz w:val="32"/>
          <w:szCs w:val="32"/>
          <w:shd w:val="clear"/>
          <w:lang w:val="en-US" w:eastAsia="zh-CN"/>
        </w:rPr>
      </w:pPr>
      <w:r>
        <w:rPr>
          <w:rFonts w:hint="eastAsia" w:ascii="仿宋_GB2312" w:hAnsi="仿宋_GB2312" w:eastAsia="仿宋_GB2312" w:cs="仿宋_GB2312"/>
          <w:b w:val="0"/>
          <w:bCs w:val="0"/>
          <w:sz w:val="32"/>
          <w:szCs w:val="32"/>
          <w:shd w:val="clear"/>
          <w:lang w:eastAsia="zh-CN"/>
        </w:rPr>
        <w:t>乳扇主产于大理白族自治州洱源县、剑川县、鹤庆县、宾川县等地。明嘉靖29年(1550)，杨慎增编《南诏野史》的《滇南月节词》第十首中有“酥花乳线浮杯缘”词句。大理南诏野史研究会周祜老师认为:乳线就是乳扇。“酥花乳线浮杯缘”即指白族人民礼仪招待贵客呈献“三道茶”之一的乳扇茶(甜茶)。杨慎品“三道茶”距今已有500年。明嘉靖42年，大理人氏李元阳篡修《大理府志》特产中记述大理府主产“酥(鲜者佳，价亦廉)”、“乳线(鲜乳冻皮也，气味不同于酥乳，然酥乳非盐则不耐久，此则不盐而可致远)”不仅介绍了乳扇这个特产，其特点也以记载下来。嘉庆元年(1796年)《邓川州志》特产门记载:“幸存乳扇利，乳扇者以牛乳杯许，煎锅内点以酸汁削二圆箸轻荡之，渐成饼，拾而指摊，以等轻卷之，布于竹架成张页而干之，色细自如轻壳，售之张值一钱，商贩载诸远，为美味，香脆愈酥酪”。文中对乳扇的制作工艺、形状、颜色、价格、销售、滋味等都描述得非常清楚。乳扇，始记于明初，来源必更早，在大理地区的社会生活中占据了重要的地位。如今，乳扇也成了为云南的一张美食名片。大理州全州到2022年底共普查造册乳扇加工小作坊467户，乳扇经营267户，到202</w:t>
      </w:r>
      <w:r>
        <w:rPr>
          <w:rFonts w:hint="eastAsia" w:ascii="仿宋_GB2312" w:hAnsi="仿宋_GB2312" w:eastAsia="仿宋_GB2312" w:cs="仿宋_GB2312"/>
          <w:b w:val="0"/>
          <w:bCs w:val="0"/>
          <w:sz w:val="32"/>
          <w:szCs w:val="32"/>
          <w:shd w:val="clear"/>
          <w:lang w:val="en-US" w:eastAsia="zh-CN"/>
        </w:rPr>
        <w:t>5</w:t>
      </w:r>
      <w:r>
        <w:rPr>
          <w:rFonts w:hint="eastAsia" w:ascii="仿宋_GB2312" w:hAnsi="仿宋_GB2312" w:eastAsia="仿宋_GB2312" w:cs="仿宋_GB2312"/>
          <w:b w:val="0"/>
          <w:bCs w:val="0"/>
          <w:sz w:val="32"/>
          <w:szCs w:val="32"/>
          <w:shd w:val="clear"/>
          <w:lang w:eastAsia="zh-CN"/>
        </w:rPr>
        <w:t>年</w:t>
      </w:r>
      <w:r>
        <w:rPr>
          <w:rFonts w:hint="eastAsia" w:ascii="仿宋_GB2312" w:hAnsi="仿宋_GB2312" w:eastAsia="仿宋_GB2312" w:cs="仿宋_GB2312"/>
          <w:b w:val="0"/>
          <w:bCs w:val="0"/>
          <w:sz w:val="32"/>
          <w:szCs w:val="32"/>
          <w:shd w:val="clear"/>
          <w:lang w:val="en-US" w:eastAsia="zh-CN"/>
        </w:rPr>
        <w:t>8</w:t>
      </w:r>
      <w:r>
        <w:rPr>
          <w:rFonts w:hint="eastAsia" w:ascii="仿宋_GB2312" w:hAnsi="仿宋_GB2312" w:eastAsia="仿宋_GB2312" w:cs="仿宋_GB2312"/>
          <w:b w:val="0"/>
          <w:bCs w:val="0"/>
          <w:sz w:val="32"/>
          <w:szCs w:val="32"/>
          <w:shd w:val="clear"/>
          <w:lang w:eastAsia="zh-CN"/>
        </w:rPr>
        <w:t>月发放乳扇小作坊登记证9</w:t>
      </w:r>
      <w:r>
        <w:rPr>
          <w:rFonts w:hint="eastAsia" w:ascii="仿宋_GB2312" w:hAnsi="仿宋_GB2312" w:eastAsia="仿宋_GB2312" w:cs="仿宋_GB2312"/>
          <w:b w:val="0"/>
          <w:bCs w:val="0"/>
          <w:sz w:val="32"/>
          <w:szCs w:val="32"/>
          <w:shd w:val="clear"/>
          <w:lang w:val="en-US" w:eastAsia="zh-CN"/>
        </w:rPr>
        <w:t>1</w:t>
      </w:r>
      <w:r>
        <w:rPr>
          <w:rFonts w:hint="eastAsia" w:ascii="仿宋_GB2312" w:hAnsi="仿宋_GB2312" w:eastAsia="仿宋_GB2312" w:cs="仿宋_GB2312"/>
          <w:b w:val="0"/>
          <w:bCs w:val="0"/>
          <w:sz w:val="32"/>
          <w:szCs w:val="32"/>
          <w:shd w:val="clear"/>
          <w:lang w:eastAsia="zh-CN"/>
        </w:rPr>
        <w:t>份（户）。</w:t>
      </w:r>
      <w:r>
        <w:rPr>
          <w:rFonts w:hint="eastAsia" w:ascii="仿宋_GB2312" w:hAnsi="仿宋_GB2312" w:eastAsia="仿宋_GB2312" w:cs="仿宋_GB2312"/>
          <w:b w:val="0"/>
          <w:bCs w:val="0"/>
          <w:sz w:val="32"/>
          <w:szCs w:val="32"/>
          <w:shd w:val="clear"/>
          <w:lang w:val="en-US" w:eastAsia="zh-CN"/>
        </w:rPr>
        <w:t>3家企业获得乳扇生许可证。仅在洱源县邓川、右所两个镇就有175户乳扇加工户，平均每天加工鲜奶约18.5吨。乳扇已在大理地区特别是洱源地区的生产生活中占据着重要的地位。</w:t>
      </w:r>
    </w:p>
    <w:p>
      <w:pPr>
        <w:keepNext w:val="0"/>
        <w:keepLines w:val="0"/>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default" w:ascii="仿宋_GB2312" w:hAnsi="仿宋_GB2312" w:eastAsia="仿宋_GB2312" w:cs="仿宋_GB2312"/>
          <w:b w:val="0"/>
          <w:bCs w:val="0"/>
          <w:sz w:val="32"/>
          <w:szCs w:val="32"/>
          <w:shd w:val="clear"/>
          <w:lang w:val="en-US" w:eastAsia="zh-CN"/>
        </w:rPr>
      </w:pPr>
      <w:r>
        <w:rPr>
          <w:rFonts w:hint="eastAsia" w:ascii="仿宋_GB2312" w:hAnsi="仿宋_GB2312" w:eastAsia="仿宋_GB2312" w:cs="仿宋_GB2312"/>
          <w:b w:val="0"/>
          <w:bCs w:val="0"/>
          <w:sz w:val="32"/>
          <w:szCs w:val="32"/>
          <w:shd w:val="clear"/>
          <w:lang w:val="en-US" w:eastAsia="zh-CN"/>
        </w:rPr>
        <w:t>2016年，</w:t>
      </w:r>
      <w:r>
        <w:rPr>
          <w:rFonts w:hint="eastAsia" w:ascii="仿宋_GB2312" w:hAnsi="仿宋_GB2312" w:eastAsia="仿宋_GB2312" w:cs="仿宋_GB2312"/>
          <w:b w:val="0"/>
          <w:bCs w:val="0"/>
          <w:sz w:val="32"/>
          <w:szCs w:val="32"/>
          <w:shd w:val="clear"/>
        </w:rPr>
        <w:t>云南省卫计委制定了DBS53/ 010-2016 《食品安全地方标准 乳扇》（以下简称《乳</w:t>
      </w:r>
      <w:r>
        <w:rPr>
          <w:rFonts w:hint="eastAsia" w:ascii="仿宋_GB2312" w:hAnsi="仿宋_GB2312" w:eastAsia="仿宋_GB2312" w:cs="仿宋_GB2312"/>
          <w:b w:val="0"/>
          <w:bCs w:val="0"/>
          <w:sz w:val="32"/>
          <w:szCs w:val="32"/>
          <w:shd w:val="clear"/>
          <w:lang w:eastAsia="zh-CN"/>
        </w:rPr>
        <w:t>扇</w:t>
      </w:r>
      <w:r>
        <w:rPr>
          <w:rFonts w:hint="eastAsia" w:ascii="仿宋_GB2312" w:hAnsi="仿宋_GB2312" w:eastAsia="仿宋_GB2312" w:cs="仿宋_GB2312"/>
          <w:b w:val="0"/>
          <w:bCs w:val="0"/>
          <w:sz w:val="32"/>
          <w:szCs w:val="32"/>
          <w:shd w:val="clear"/>
        </w:rPr>
        <w:t>》2016版），对规范乳扇企业生产，维护云南特色食品安全起到了重要作用，为监管部门提供了有力的技术支撑。</w:t>
      </w:r>
      <w:r>
        <w:rPr>
          <w:rFonts w:hint="eastAsia" w:ascii="仿宋_GB2312" w:hAnsi="仿宋_GB2312" w:eastAsia="仿宋_GB2312" w:cs="仿宋_GB2312"/>
          <w:b w:val="0"/>
          <w:bCs w:val="0"/>
          <w:sz w:val="32"/>
          <w:szCs w:val="32"/>
          <w:shd w:val="clear"/>
          <w:lang w:val="en-US" w:eastAsia="zh-CN"/>
        </w:rPr>
        <w:t xml:space="preserve"> </w:t>
      </w:r>
    </w:p>
    <w:p>
      <w:pPr>
        <w:keepNext w:val="0"/>
        <w:keepLines w:val="0"/>
        <w:pageBreakBefore w:val="0"/>
        <w:widowControl/>
        <w:kinsoku/>
        <w:wordWrap/>
        <w:overflowPunct/>
        <w:topLinePunct w:val="0"/>
        <w:autoSpaceDE/>
        <w:autoSpaceDN/>
        <w:bidi w:val="0"/>
        <w:adjustRightInd/>
        <w:snapToGrid/>
        <w:spacing w:beforeLines="-2147483648" w:afterLines="-2147483648" w:line="360" w:lineRule="auto"/>
        <w:ind w:firstLine="640" w:firstLineChars="200"/>
        <w:jc w:val="both"/>
        <w:textAlignment w:val="auto"/>
        <w:outlineLvl w:val="9"/>
        <w:rPr>
          <w:rFonts w:hint="eastAsia" w:ascii="仿宋_GB2312" w:hAnsi="仿宋_GB2312" w:eastAsia="仿宋_GB2312" w:cs="仿宋_GB2312"/>
          <w:b w:val="0"/>
          <w:bCs w:val="0"/>
          <w:sz w:val="32"/>
          <w:szCs w:val="32"/>
          <w:shd w:val="clear"/>
        </w:rPr>
      </w:pPr>
      <w:r>
        <w:rPr>
          <w:rFonts w:hint="eastAsia" w:ascii="仿宋_GB2312" w:hAnsi="仿宋_GB2312" w:eastAsia="仿宋_GB2312" w:cs="仿宋_GB2312"/>
          <w:b w:val="0"/>
          <w:bCs w:val="0"/>
          <w:sz w:val="32"/>
          <w:szCs w:val="32"/>
          <w:shd w:val="clear"/>
        </w:rPr>
        <w:t>2021年发布实施的GB29921《食品安全国家标准 预包装食品中致病菌限量》，对乳制品的微生物限量进行了更新。基于标准协调性、一致性的要求，《 乳扇》2016</w:t>
      </w:r>
      <w:r>
        <w:rPr>
          <w:rFonts w:hint="eastAsia" w:ascii="仿宋_GB2312" w:hAnsi="仿宋_GB2312" w:eastAsia="仿宋_GB2312" w:cs="仿宋_GB2312"/>
          <w:b w:val="0"/>
          <w:bCs w:val="0"/>
          <w:sz w:val="32"/>
          <w:szCs w:val="32"/>
          <w:shd w:val="clear"/>
          <w:lang w:eastAsia="zh-CN"/>
        </w:rPr>
        <w:t>版</w:t>
      </w:r>
      <w:r>
        <w:rPr>
          <w:rFonts w:hint="eastAsia" w:ascii="仿宋_GB2312" w:hAnsi="仿宋_GB2312" w:eastAsia="仿宋_GB2312" w:cs="仿宋_GB2312"/>
          <w:b w:val="0"/>
          <w:bCs w:val="0"/>
          <w:sz w:val="32"/>
          <w:szCs w:val="32"/>
          <w:shd w:val="clear"/>
        </w:rPr>
        <w:t>相应调整。</w:t>
      </w:r>
      <w:r>
        <w:rPr>
          <w:rFonts w:hint="eastAsia" w:ascii="仿宋_GB2312" w:hAnsi="仿宋_GB2312" w:eastAsia="仿宋_GB2312" w:cs="仿宋_GB2312"/>
          <w:b w:val="0"/>
          <w:bCs w:val="0"/>
          <w:sz w:val="32"/>
          <w:szCs w:val="32"/>
          <w:shd w:val="clear"/>
          <w:lang w:eastAsia="zh-CN"/>
        </w:rPr>
        <w:t>另外</w:t>
      </w:r>
      <w:r>
        <w:rPr>
          <w:rFonts w:hint="eastAsia" w:ascii="仿宋_GB2312" w:hAnsi="仿宋_GB2312" w:eastAsia="仿宋_GB2312" w:cs="仿宋_GB2312"/>
          <w:b w:val="0"/>
          <w:bCs w:val="0"/>
          <w:sz w:val="32"/>
          <w:szCs w:val="32"/>
          <w:shd w:val="clear"/>
        </w:rPr>
        <w:t>，为配合省市场监管局提出的到2023年底，全省乳制品质量安全监管能力大幅提升的要求，有必要尽快对《乳</w:t>
      </w:r>
      <w:r>
        <w:rPr>
          <w:rFonts w:hint="eastAsia" w:ascii="仿宋_GB2312" w:hAnsi="仿宋_GB2312" w:eastAsia="仿宋_GB2312" w:cs="仿宋_GB2312"/>
          <w:b w:val="0"/>
          <w:bCs w:val="0"/>
          <w:sz w:val="32"/>
          <w:szCs w:val="32"/>
          <w:shd w:val="clear"/>
          <w:lang w:eastAsia="zh-CN"/>
        </w:rPr>
        <w:t>扇</w:t>
      </w:r>
      <w:r>
        <w:rPr>
          <w:rFonts w:hint="eastAsia" w:ascii="仿宋_GB2312" w:hAnsi="仿宋_GB2312" w:eastAsia="仿宋_GB2312" w:cs="仿宋_GB2312"/>
          <w:b w:val="0"/>
          <w:bCs w:val="0"/>
          <w:sz w:val="32"/>
          <w:szCs w:val="32"/>
          <w:shd w:val="clear"/>
        </w:rPr>
        <w:t>》2016版进行修订，对标准的术语和定义、理化指标、微生物限量等进行修改，提升乳</w:t>
      </w:r>
      <w:r>
        <w:rPr>
          <w:rFonts w:hint="eastAsia" w:ascii="仿宋_GB2312" w:hAnsi="仿宋_GB2312" w:eastAsia="仿宋_GB2312" w:cs="仿宋_GB2312"/>
          <w:b w:val="0"/>
          <w:bCs w:val="0"/>
          <w:sz w:val="32"/>
          <w:szCs w:val="32"/>
          <w:shd w:val="clear"/>
          <w:lang w:eastAsia="zh-CN"/>
        </w:rPr>
        <w:t>扇</w:t>
      </w:r>
      <w:r>
        <w:rPr>
          <w:rFonts w:hint="eastAsia" w:ascii="仿宋_GB2312" w:hAnsi="仿宋_GB2312" w:eastAsia="仿宋_GB2312" w:cs="仿宋_GB2312"/>
          <w:b w:val="0"/>
          <w:bCs w:val="0"/>
          <w:sz w:val="32"/>
          <w:szCs w:val="32"/>
          <w:shd w:val="clear"/>
        </w:rPr>
        <w:t>质量</w:t>
      </w:r>
      <w:r>
        <w:rPr>
          <w:rFonts w:hint="eastAsia" w:ascii="仿宋_GB2312" w:hAnsi="仿宋_GB2312" w:eastAsia="仿宋_GB2312" w:cs="仿宋_GB2312"/>
          <w:b w:val="0"/>
          <w:bCs w:val="0"/>
          <w:sz w:val="32"/>
          <w:szCs w:val="32"/>
          <w:shd w:val="clear"/>
          <w:lang w:eastAsia="zh-CN"/>
        </w:rPr>
        <w:t>安全标准</w:t>
      </w:r>
      <w:r>
        <w:rPr>
          <w:rFonts w:hint="eastAsia" w:ascii="仿宋_GB2312" w:hAnsi="仿宋_GB2312" w:eastAsia="仿宋_GB2312" w:cs="仿宋_GB2312"/>
          <w:b w:val="0"/>
          <w:bCs w:val="0"/>
          <w:sz w:val="32"/>
          <w:szCs w:val="32"/>
          <w:shd w:val="clear"/>
        </w:rPr>
        <w:t>水平，规范企业生产秩序，更好的保障乳</w:t>
      </w:r>
      <w:r>
        <w:rPr>
          <w:rFonts w:hint="eastAsia" w:ascii="仿宋_GB2312" w:hAnsi="仿宋_GB2312" w:eastAsia="仿宋_GB2312" w:cs="仿宋_GB2312"/>
          <w:b w:val="0"/>
          <w:bCs w:val="0"/>
          <w:sz w:val="32"/>
          <w:szCs w:val="32"/>
          <w:shd w:val="clear"/>
          <w:lang w:eastAsia="zh-CN"/>
        </w:rPr>
        <w:t>扇</w:t>
      </w:r>
      <w:r>
        <w:rPr>
          <w:rFonts w:hint="eastAsia" w:ascii="仿宋_GB2312" w:hAnsi="仿宋_GB2312" w:eastAsia="仿宋_GB2312" w:cs="仿宋_GB2312"/>
          <w:b w:val="0"/>
          <w:bCs w:val="0"/>
          <w:sz w:val="32"/>
          <w:szCs w:val="32"/>
          <w:shd w:val="clear"/>
        </w:rPr>
        <w:t>的质量安全，促进产业的健康发展。</w:t>
      </w:r>
    </w:p>
    <w:p>
      <w:pPr>
        <w:numPr>
          <w:ilvl w:val="0"/>
          <w:numId w:val="1"/>
        </w:numPr>
        <w:spacing w:line="360" w:lineRule="auto"/>
        <w:ind w:firstLine="784" w:firstLineChars="245"/>
        <w:jc w:val="both"/>
        <w:rPr>
          <w:rFonts w:hint="eastAsia" w:ascii="黑体" w:hAnsi="黑体" w:eastAsia="黑体" w:cs="黑体"/>
          <w:b w:val="0"/>
          <w:bCs/>
          <w:color w:val="000000" w:themeColor="text1"/>
          <w:kern w:val="0"/>
          <w:sz w:val="32"/>
          <w:szCs w:val="32"/>
          <w:highlight w:val="none"/>
          <w:lang w:val="en-US" w:eastAsia="zh-CN" w:bidi="ar-SA"/>
        </w:rPr>
      </w:pPr>
      <w:r>
        <w:rPr>
          <w:rFonts w:hint="eastAsia" w:ascii="黑体" w:hAnsi="黑体" w:eastAsia="黑体" w:cs="黑体"/>
          <w:b w:val="0"/>
          <w:bCs/>
          <w:color w:val="000000" w:themeColor="text1"/>
          <w:kern w:val="0"/>
          <w:sz w:val="32"/>
          <w:szCs w:val="32"/>
          <w:highlight w:val="none"/>
          <w:lang w:val="en-US" w:eastAsia="zh-CN" w:bidi="ar-SA"/>
        </w:rPr>
        <w:t>主要起草过程</w:t>
      </w:r>
    </w:p>
    <w:p>
      <w:pPr>
        <w:numPr>
          <w:ilvl w:val="0"/>
          <w:numId w:val="0"/>
        </w:numPr>
        <w:spacing w:line="360" w:lineRule="auto"/>
        <w:ind w:firstLine="640" w:firstLineChars="200"/>
        <w:jc w:val="both"/>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接到《项目任务书》后，大理院和省质检院相关人员成立标准起草组，明确工作内容、工作组成员、任务分工和进度计划。对国内相关政策法规、标准进行收集、整理和分析研究，确定了标准的制定工作方案。标准起草组按照方案执行，分别到大理市、洱源县、宾川县等乳扇生产主产区进行调研，现场查看乳扇的生产过程，了解生产的关键控制点；并将采集样品及时检测和数据分析，形成了标准初稿，经多次讨论和专家征求意见后形成标准送审稿。</w:t>
      </w:r>
    </w:p>
    <w:p>
      <w:pPr>
        <w:numPr>
          <w:ilvl w:val="0"/>
          <w:numId w:val="0"/>
        </w:numPr>
        <w:spacing w:line="360" w:lineRule="auto"/>
        <w:ind w:firstLine="640" w:firstLineChars="200"/>
        <w:jc w:val="both"/>
        <w:rPr>
          <w:rFonts w:hint="eastAsia" w:ascii="黑体" w:hAnsi="黑体" w:eastAsia="黑体" w:cs="黑体"/>
          <w:b w:val="0"/>
          <w:bCs/>
          <w:color w:val="000000" w:themeColor="text1"/>
          <w:kern w:val="0"/>
          <w:sz w:val="32"/>
          <w:szCs w:val="32"/>
          <w:highlight w:val="none"/>
          <w:lang w:val="en-US" w:eastAsia="zh-CN" w:bidi="ar-SA"/>
        </w:rPr>
      </w:pPr>
      <w:r>
        <w:rPr>
          <w:rFonts w:hint="eastAsia" w:ascii="黑体" w:hAnsi="黑体" w:eastAsia="黑体" w:cs="黑体"/>
          <w:b w:val="0"/>
          <w:bCs/>
          <w:color w:val="000000" w:themeColor="text1"/>
          <w:kern w:val="0"/>
          <w:sz w:val="32"/>
          <w:szCs w:val="32"/>
          <w:highlight w:val="none"/>
          <w:lang w:val="en-US" w:eastAsia="zh-CN" w:bidi="ar-SA"/>
        </w:rPr>
        <w:t>四、标准的制修订原则，与现行法律、法规、标准的关系</w:t>
      </w:r>
    </w:p>
    <w:p>
      <w:pPr>
        <w:spacing w:line="360" w:lineRule="auto"/>
        <w:ind w:firstLine="640" w:firstLineChars="200"/>
        <w:jc w:val="both"/>
        <w:rPr>
          <w:rFonts w:hint="eastAsia" w:ascii="楷体" w:hAnsi="楷体" w:eastAsia="楷体" w:cs="楷体"/>
          <w:sz w:val="32"/>
          <w:szCs w:val="32"/>
        </w:rPr>
      </w:pPr>
      <w:r>
        <w:rPr>
          <w:rFonts w:hint="eastAsia" w:ascii="楷体" w:hAnsi="楷体" w:eastAsia="楷体" w:cs="楷体"/>
          <w:sz w:val="32"/>
          <w:szCs w:val="32"/>
        </w:rPr>
        <w:t>（一）制定标准的原则</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本标准</w:t>
      </w:r>
      <w:r>
        <w:rPr>
          <w:rFonts w:hint="eastAsia" w:ascii="仿宋_GB2312" w:hAnsi="仿宋_GB2312" w:eastAsia="仿宋_GB2312" w:cs="仿宋_GB2312"/>
          <w:sz w:val="32"/>
          <w:szCs w:val="32"/>
          <w:lang w:eastAsia="zh-CN"/>
        </w:rPr>
        <w:t>参照</w:t>
      </w:r>
      <w:r>
        <w:rPr>
          <w:rFonts w:hint="eastAsia" w:ascii="仿宋_GB2312" w:hAnsi="仿宋_GB2312" w:eastAsia="仿宋_GB2312" w:cs="仿宋_GB2312"/>
          <w:sz w:val="32"/>
          <w:szCs w:val="32"/>
        </w:rPr>
        <w:t>GB/T 1.1-2020《标准化工作导则 第1部分：标准化文件的结构和起草规则》给出的规则进行起草，文本格式规范，具有科学性、协调性、适用性。</w:t>
      </w:r>
    </w:p>
    <w:p>
      <w:pPr>
        <w:numPr>
          <w:ilvl w:val="0"/>
          <w:numId w:val="2"/>
        </w:numPr>
        <w:spacing w:line="360" w:lineRule="auto"/>
        <w:ind w:firstLine="640" w:firstLineChars="200"/>
        <w:jc w:val="both"/>
        <w:rPr>
          <w:rFonts w:hint="eastAsia" w:ascii="楷体" w:hAnsi="楷体" w:eastAsia="楷体" w:cs="楷体"/>
          <w:b w:val="0"/>
          <w:bCs/>
          <w:color w:val="000000" w:themeColor="text1"/>
          <w:kern w:val="0"/>
          <w:sz w:val="32"/>
          <w:szCs w:val="32"/>
          <w:highlight w:val="none"/>
          <w:lang w:val="en-US" w:eastAsia="zh-CN" w:bidi="ar-SA"/>
        </w:rPr>
      </w:pPr>
      <w:r>
        <w:rPr>
          <w:rFonts w:hint="eastAsia" w:ascii="楷体" w:hAnsi="楷体" w:eastAsia="楷体" w:cs="楷体"/>
          <w:b w:val="0"/>
          <w:bCs/>
          <w:color w:val="000000" w:themeColor="text1"/>
          <w:kern w:val="0"/>
          <w:sz w:val="32"/>
          <w:szCs w:val="32"/>
          <w:highlight w:val="none"/>
          <w:lang w:val="en-US" w:eastAsia="zh-CN" w:bidi="ar-SA"/>
        </w:rPr>
        <w:t>与现行法律法规和其他标准的关系</w:t>
      </w:r>
    </w:p>
    <w:p>
      <w:pPr>
        <w:numPr>
          <w:ilvl w:val="0"/>
          <w:numId w:val="0"/>
        </w:numPr>
        <w:spacing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与现行法律、法规和相关标准协调一致的，无冲突</w:t>
      </w:r>
    </w:p>
    <w:p>
      <w:pPr>
        <w:numPr>
          <w:ilvl w:val="0"/>
          <w:numId w:val="0"/>
        </w:numPr>
        <w:spacing w:line="360" w:lineRule="auto"/>
        <w:ind w:firstLine="640" w:firstLineChars="200"/>
        <w:jc w:val="both"/>
        <w:rPr>
          <w:rFonts w:hint="eastAsia" w:ascii="黑体" w:hAnsi="黑体" w:eastAsia="黑体" w:cs="黑体"/>
          <w:b w:val="0"/>
          <w:bCs/>
          <w:color w:val="000000" w:themeColor="text1"/>
          <w:kern w:val="0"/>
          <w:sz w:val="32"/>
          <w:szCs w:val="32"/>
          <w:highlight w:val="none"/>
          <w:lang w:val="en-US" w:eastAsia="zh-CN" w:bidi="ar-SA"/>
        </w:rPr>
      </w:pPr>
      <w:r>
        <w:rPr>
          <w:rFonts w:hint="eastAsia" w:ascii="黑体" w:hAnsi="黑体" w:eastAsia="黑体" w:cs="黑体"/>
          <w:b w:val="0"/>
          <w:bCs/>
          <w:color w:val="000000" w:themeColor="text1"/>
          <w:kern w:val="0"/>
          <w:sz w:val="32"/>
          <w:szCs w:val="32"/>
          <w:highlight w:val="none"/>
          <w:lang w:val="en-US" w:eastAsia="zh-CN" w:bidi="ar-SA"/>
        </w:rPr>
        <w:t>五、主要条款的说明，主要技术指标、参数的论述</w:t>
      </w:r>
    </w:p>
    <w:p>
      <w:pPr>
        <w:numPr>
          <w:ilvl w:val="0"/>
          <w:numId w:val="0"/>
        </w:numPr>
        <w:spacing w:line="360" w:lineRule="auto"/>
        <w:ind w:firstLine="640" w:firstLineChars="200"/>
        <w:jc w:val="both"/>
        <w:rPr>
          <w:rFonts w:hint="eastAsia" w:ascii="楷体" w:hAnsi="楷体" w:eastAsia="楷体" w:cs="楷体"/>
          <w:b w:val="0"/>
          <w:bCs/>
          <w:color w:val="000000" w:themeColor="text1"/>
          <w:kern w:val="0"/>
          <w:sz w:val="32"/>
          <w:szCs w:val="32"/>
          <w:highlight w:val="none"/>
          <w:lang w:val="en-US" w:eastAsia="zh-CN" w:bidi="ar-SA"/>
        </w:rPr>
      </w:pPr>
      <w:r>
        <w:rPr>
          <w:rFonts w:hint="eastAsia" w:ascii="楷体" w:hAnsi="楷体" w:eastAsia="楷体" w:cs="楷体"/>
          <w:b w:val="0"/>
          <w:bCs/>
          <w:color w:val="000000" w:themeColor="text1"/>
          <w:kern w:val="0"/>
          <w:sz w:val="32"/>
          <w:szCs w:val="32"/>
          <w:highlight w:val="none"/>
          <w:lang w:val="en-US" w:eastAsia="zh-CN" w:bidi="ar-SA"/>
        </w:rPr>
        <w:t>（一）范围</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规定了标准适用于乳扇。</w:t>
      </w:r>
    </w:p>
    <w:p>
      <w:pPr>
        <w:numPr>
          <w:ilvl w:val="0"/>
          <w:numId w:val="0"/>
        </w:numPr>
        <w:spacing w:line="360" w:lineRule="auto"/>
        <w:ind w:firstLine="640" w:firstLineChars="200"/>
        <w:jc w:val="both"/>
        <w:rPr>
          <w:rFonts w:hint="eastAsia" w:ascii="楷体" w:hAnsi="楷体" w:eastAsia="楷体" w:cs="楷体"/>
          <w:b w:val="0"/>
          <w:bCs/>
          <w:color w:val="000000" w:themeColor="text1"/>
          <w:kern w:val="0"/>
          <w:sz w:val="32"/>
          <w:szCs w:val="32"/>
          <w:highlight w:val="none"/>
          <w:lang w:val="en-US" w:eastAsia="zh-CN" w:bidi="ar-SA"/>
        </w:rPr>
      </w:pPr>
      <w:r>
        <w:rPr>
          <w:rFonts w:hint="eastAsia" w:ascii="楷体" w:hAnsi="楷体" w:eastAsia="楷体" w:cs="楷体"/>
          <w:b w:val="0"/>
          <w:bCs/>
          <w:color w:val="000000" w:themeColor="text1"/>
          <w:kern w:val="0"/>
          <w:sz w:val="32"/>
          <w:szCs w:val="32"/>
          <w:highlight w:val="none"/>
          <w:lang w:val="en-US" w:eastAsia="zh-CN" w:bidi="ar-SA"/>
        </w:rPr>
        <w:t>（二）术语和定义</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通过市场、生产企业实际调研，综合生产企业、监管部门、相关专家等各方意见</w:t>
      </w:r>
      <w:r>
        <w:rPr>
          <w:rFonts w:hint="eastAsia" w:ascii="仿宋_GB2312" w:hAnsi="仿宋_GB2312" w:eastAsia="仿宋_GB2312" w:cs="仿宋_GB2312"/>
          <w:sz w:val="32"/>
          <w:szCs w:val="32"/>
          <w:lang w:eastAsia="zh-CN"/>
        </w:rPr>
        <w:t>，对DBS53/ 0</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-2016中乳扇的定义进行了修改</w:t>
      </w:r>
      <w:r>
        <w:rPr>
          <w:rFonts w:hint="eastAsia" w:ascii="仿宋_GB2312" w:hAnsi="仿宋_GB2312" w:eastAsia="仿宋_GB2312" w:cs="仿宋_GB2312"/>
          <w:sz w:val="32"/>
          <w:szCs w:val="32"/>
        </w:rPr>
        <w:t>。将乳扇的定义修改为“</w:t>
      </w: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rPr>
        <w:t>生牛乳为原料，将生牛乳加入预先加热的牛奶自然发酵后生成的酸水或添加冰乙酸的酸水中，经加热、凝乳、沉淀、揉制成型、晾晒制成的非即食性乳制品”。</w:t>
      </w:r>
    </w:p>
    <w:p>
      <w:pPr>
        <w:spacing w:line="360" w:lineRule="auto"/>
        <w:ind w:firstLine="640" w:firstLineChars="200"/>
        <w:jc w:val="both"/>
        <w:rPr>
          <w:rFonts w:hint="eastAsia" w:ascii="楷体" w:hAnsi="楷体" w:eastAsia="楷体" w:cs="楷体"/>
          <w:sz w:val="32"/>
          <w:szCs w:val="32"/>
        </w:rPr>
      </w:pPr>
      <w:r>
        <w:rPr>
          <w:rFonts w:hint="eastAsia" w:ascii="楷体" w:hAnsi="楷体" w:eastAsia="楷体" w:cs="楷体"/>
          <w:sz w:val="32"/>
          <w:szCs w:val="32"/>
        </w:rPr>
        <w:t>（三）标准参数验证</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我省乳扇生产实际出发，充分考虑云南乳扇生产企业和小作坊的现状和技术条件，在标准修订时，召开企业座谈会、到生产企业实地调查、不同来源的产品检测，通过原有数据和新获得数据的归纳整理分析，以获得代表我省乳扇生产实际水平的产品技术参数。</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样品来源</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通过食品批发市场、</w:t>
      </w:r>
      <w:r>
        <w:rPr>
          <w:rFonts w:hint="eastAsia" w:ascii="仿宋_GB2312" w:hAnsi="仿宋_GB2312" w:eastAsia="仿宋_GB2312" w:cs="仿宋_GB2312"/>
          <w:sz w:val="32"/>
          <w:szCs w:val="32"/>
          <w:lang w:eastAsia="zh-CN"/>
        </w:rPr>
        <w:t>集</w:t>
      </w:r>
      <w:r>
        <w:rPr>
          <w:rFonts w:hint="eastAsia" w:ascii="仿宋_GB2312" w:hAnsi="仿宋_GB2312" w:eastAsia="仿宋_GB2312" w:cs="仿宋_GB2312"/>
          <w:sz w:val="32"/>
          <w:szCs w:val="32"/>
        </w:rPr>
        <w:t>贸市场、特产店、小作坊、制作家庭、网络购买、调研及客户送检、抽检等方式共收集的767批检测的乳扇数据进行分析。基本涵盖了云南省乳扇生产的主要产区，能够代表乳扇的质量状况。</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感官指标的确定和验证</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感官指标是产品质量最直接最基本的要求，本标准从乳</w:t>
      </w:r>
      <w:r>
        <w:rPr>
          <w:rFonts w:hint="eastAsia" w:ascii="仿宋_GB2312" w:hAnsi="仿宋_GB2312" w:eastAsia="仿宋_GB2312" w:cs="仿宋_GB2312"/>
          <w:sz w:val="32"/>
          <w:szCs w:val="32"/>
          <w:lang w:eastAsia="zh-CN"/>
        </w:rPr>
        <w:t>扇</w:t>
      </w:r>
      <w:r>
        <w:rPr>
          <w:rFonts w:hint="eastAsia" w:ascii="仿宋_GB2312" w:hAnsi="仿宋_GB2312" w:eastAsia="仿宋_GB2312" w:cs="仿宋_GB2312"/>
          <w:sz w:val="32"/>
          <w:szCs w:val="32"/>
        </w:rPr>
        <w:t>的外观、滋味、气味、色泽、杂质等进行了描述，并规定了检验方法。最终确定检验方法为：“将适量样品放入清洁白瓷盘中，自然光线下目视、鼻嗅。乳扇经熟制后品尝滋味”。滋味、气味修改为：具有该产品应有的滋味和气味，无异味。外观、色泽、杂质与《乳</w:t>
      </w:r>
      <w:r>
        <w:rPr>
          <w:rFonts w:hint="eastAsia" w:ascii="仿宋_GB2312" w:hAnsi="仿宋_GB2312" w:eastAsia="仿宋_GB2312" w:cs="仿宋_GB2312"/>
          <w:sz w:val="32"/>
          <w:szCs w:val="32"/>
          <w:lang w:eastAsia="zh-CN"/>
        </w:rPr>
        <w:t>扇</w:t>
      </w:r>
      <w:r>
        <w:rPr>
          <w:rFonts w:hint="eastAsia" w:ascii="仿宋_GB2312" w:hAnsi="仿宋_GB2312" w:eastAsia="仿宋_GB2312" w:cs="仿宋_GB2312"/>
          <w:sz w:val="32"/>
          <w:szCs w:val="32"/>
        </w:rPr>
        <w:t>》2016版表述一致。</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理化及安全性指标的确定</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水分测定方法及指标确定依据</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对采集的乳扇样品126批按GB 5009.3《食品安全国家标准 食品中水分的测定》进行水分检测。检测结果显示乳扇的水分含量在5.9g/100g～20.0g/100g之间，平均值为15.7g/100g。</w:t>
      </w:r>
      <w:r>
        <w:rPr>
          <w:rFonts w:hint="eastAsia" w:ascii="仿宋_GB2312" w:hAnsi="仿宋_GB2312" w:eastAsia="仿宋_GB2312" w:cs="仿宋_GB2312"/>
          <w:sz w:val="32"/>
          <w:szCs w:val="32"/>
          <w:lang w:eastAsia="zh-CN"/>
        </w:rPr>
        <w:t>与《乳扇》2016版的水分限量要求一致，规定为</w:t>
      </w:r>
      <w:r>
        <w:rPr>
          <w:rFonts w:hint="eastAsia" w:ascii="仿宋_GB2312" w:hAnsi="仿宋_GB2312" w:eastAsia="仿宋_GB2312" w:cs="仿宋_GB2312"/>
          <w:sz w:val="32"/>
          <w:szCs w:val="32"/>
        </w:rPr>
        <w:t>≤20g/100g。</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蛋白质测定方法及指标确定依据</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对收集的760批次的乳扇按GB 5009.5《食品安全国家标准 食品中蛋白质的测定》进行蛋白质验证检测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检测结果显示乳扇的蛋白质含量在30.0g/100g～43.3g/100g之间，平均值为33.0g/100g。与《乳</w:t>
      </w:r>
      <w:r>
        <w:rPr>
          <w:rFonts w:hint="eastAsia" w:ascii="仿宋_GB2312" w:hAnsi="仿宋_GB2312" w:eastAsia="仿宋_GB2312" w:cs="仿宋_GB2312"/>
          <w:sz w:val="32"/>
          <w:szCs w:val="32"/>
          <w:lang w:eastAsia="zh-CN"/>
        </w:rPr>
        <w:t>扇</w:t>
      </w:r>
      <w:r>
        <w:rPr>
          <w:rFonts w:hint="eastAsia" w:ascii="仿宋_GB2312" w:hAnsi="仿宋_GB2312" w:eastAsia="仿宋_GB2312" w:cs="仿宋_GB2312"/>
          <w:sz w:val="32"/>
          <w:szCs w:val="32"/>
        </w:rPr>
        <w:t>》2016版蛋白质限量要求一致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规定为≥</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g/100g</w:t>
      </w:r>
      <w:r>
        <w:rPr>
          <w:rFonts w:hint="eastAsia" w:ascii="仿宋_GB2312" w:hAnsi="仿宋_GB2312" w:eastAsia="仿宋_GB2312" w:cs="仿宋_GB2312"/>
          <w:sz w:val="32"/>
          <w:szCs w:val="32"/>
          <w:lang w:eastAsia="zh-CN"/>
        </w:rPr>
        <w:t>。</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脂肪测定方法及指标确定依据</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对收集的747批乳扇样品脂肪按GB 5009.6《食品安全国家标准 食品中脂肪的测定》进行检测。检测结果显示乳扇的总脂肪含量在30g/100g～55g/100g之间，平均值为40.4g/100g。与《乳</w:t>
      </w:r>
      <w:r>
        <w:rPr>
          <w:rFonts w:hint="eastAsia" w:ascii="仿宋_GB2312" w:hAnsi="仿宋_GB2312" w:eastAsia="仿宋_GB2312" w:cs="仿宋_GB2312"/>
          <w:sz w:val="32"/>
          <w:szCs w:val="32"/>
          <w:lang w:eastAsia="zh-CN"/>
        </w:rPr>
        <w:t>扇</w:t>
      </w:r>
      <w:r>
        <w:rPr>
          <w:rFonts w:hint="eastAsia" w:ascii="仿宋_GB2312" w:hAnsi="仿宋_GB2312" w:eastAsia="仿宋_GB2312" w:cs="仿宋_GB2312"/>
          <w:sz w:val="32"/>
          <w:szCs w:val="32"/>
        </w:rPr>
        <w:t>》2016版脂肪限量要求一致：规定为：≥</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g/100g。</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过氧化值测定方法及指标确定依据</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对收集的的130批乳扇过氧化值按GB/T5009.37《食用植物油卫生标准的分析方法》即GB 5009.227进行检测。原标准GB/T5009.37 中“4.2 过氧化值”于2017年3月1日被GB 5009.227《 食品安全国家标准 食品中过氧化值的测定》代替，所以也对原标准中</w:t>
      </w:r>
      <w:r>
        <w:rPr>
          <w:rFonts w:hint="eastAsia" w:ascii="仿宋_GB2312" w:hAnsi="仿宋_GB2312" w:eastAsia="仿宋_GB2312" w:cs="仿宋_GB2312"/>
          <w:sz w:val="32"/>
          <w:szCs w:val="32"/>
          <w:lang w:eastAsia="zh-CN"/>
        </w:rPr>
        <w:t>过氧</w:t>
      </w:r>
      <w:r>
        <w:rPr>
          <w:rFonts w:hint="eastAsia" w:ascii="仿宋_GB2312" w:hAnsi="仿宋_GB2312" w:eastAsia="仿宋_GB2312" w:cs="仿宋_GB2312"/>
          <w:sz w:val="32"/>
          <w:szCs w:val="32"/>
        </w:rPr>
        <w:t>化值的检测方法进行了修订。检测结果显示乳扇的过氧化值含量在0.0056g/100g～0.11g/100g之间，平均值为0.03</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g/100g。</w:t>
      </w:r>
      <w:r>
        <w:rPr>
          <w:rFonts w:hint="eastAsia" w:ascii="仿宋_GB2312" w:hAnsi="仿宋_GB2312" w:eastAsia="仿宋_GB2312" w:cs="仿宋_GB2312"/>
          <w:sz w:val="32"/>
          <w:szCs w:val="32"/>
          <w:lang w:eastAsia="zh-CN"/>
        </w:rPr>
        <w:t>与《乳扇》2016版</w:t>
      </w:r>
      <w:r>
        <w:rPr>
          <w:rFonts w:hint="eastAsia" w:ascii="仿宋_GB2312" w:hAnsi="仿宋_GB2312" w:eastAsia="仿宋_GB2312" w:cs="仿宋_GB2312"/>
          <w:sz w:val="32"/>
          <w:szCs w:val="32"/>
        </w:rPr>
        <w:t>过氧化值</w:t>
      </w:r>
      <w:r>
        <w:rPr>
          <w:rFonts w:hint="eastAsia" w:ascii="仿宋_GB2312" w:hAnsi="仿宋_GB2312" w:eastAsia="仿宋_GB2312" w:cs="仿宋_GB2312"/>
          <w:sz w:val="32"/>
          <w:szCs w:val="32"/>
          <w:lang w:eastAsia="zh-CN"/>
        </w:rPr>
        <w:t>限量要求一致：</w:t>
      </w:r>
      <w:r>
        <w:rPr>
          <w:rFonts w:hint="eastAsia" w:ascii="仿宋_GB2312" w:hAnsi="仿宋_GB2312" w:eastAsia="仿宋_GB2312" w:cs="仿宋_GB2312"/>
          <w:sz w:val="32"/>
          <w:szCs w:val="32"/>
        </w:rPr>
        <w:t>≤0.25g/100g</w:t>
      </w:r>
      <w:r>
        <w:rPr>
          <w:rFonts w:hint="eastAsia" w:ascii="仿宋_GB2312" w:hAnsi="仿宋_GB2312" w:eastAsia="仿宋_GB2312" w:cs="仿宋_GB2312"/>
          <w:sz w:val="32"/>
          <w:szCs w:val="32"/>
          <w:lang w:eastAsia="zh-CN"/>
        </w:rPr>
        <w:t>。</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污染物测定方法及指标确定依据</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按照GB 5009.12《食品安全国家标准 食品中铅的测定》进行铅验证检测，铅检测结果显示乳扇中140批样品中105批＜0.04mg/kg，28批在0.04 mg/kg～0.2 mg/kg之间，2批次的检测值在0.02 mg/kg～0.04 mg/kg之间。5批样品检测值分别为0.2～1.18 mg/kg，按照GB2762中≤0.2mg/kg的规定，5批样品铅不符合GB2762的规定，不合格率为3.57%。考虑到地方标准或者企业标准的指标不能低于国家标准，铅不单独规定，执行GB2762</w:t>
      </w:r>
      <w:r>
        <w:rPr>
          <w:rFonts w:hint="eastAsia" w:ascii="仿宋_GB2312" w:hAnsi="仿宋_GB2312" w:eastAsia="仿宋_GB2312" w:cs="仿宋_GB2312"/>
          <w:sz w:val="32"/>
          <w:szCs w:val="32"/>
          <w:lang w:eastAsia="zh-CN"/>
        </w:rPr>
        <w:t>的规定。</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真菌毒素测定方法及指标确定依据</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按照GB 5009.24《食品安全国家标准 食品中黄曲霉毒素M族的测定》进行黄曲霉毒素M1检测，检测结果显示乳扇中109批次收集样品均未检出（检出限0.02μg/kg），所有检测样品均符合GB2761的规定。所以本部分</w:t>
      </w:r>
      <w:r>
        <w:rPr>
          <w:rFonts w:hint="eastAsia" w:ascii="仿宋_GB2312" w:hAnsi="仿宋_GB2312" w:eastAsia="仿宋_GB2312" w:cs="仿宋_GB2312"/>
          <w:sz w:val="32"/>
          <w:szCs w:val="32"/>
          <w:lang w:eastAsia="zh-CN"/>
        </w:rPr>
        <w:t>与《乳扇》</w:t>
      </w:r>
      <w:r>
        <w:rPr>
          <w:rFonts w:hint="eastAsia" w:ascii="仿宋_GB2312" w:hAnsi="仿宋_GB2312" w:eastAsia="仿宋_GB2312" w:cs="仿宋_GB2312"/>
          <w:sz w:val="32"/>
          <w:szCs w:val="32"/>
          <w:lang w:val="en-US" w:eastAsia="zh-CN"/>
        </w:rPr>
        <w:t>2016版相同</w:t>
      </w:r>
      <w:r>
        <w:rPr>
          <w:rFonts w:hint="eastAsia" w:ascii="仿宋_GB2312" w:hAnsi="仿宋_GB2312" w:eastAsia="仿宋_GB2312" w:cs="仿宋_GB2312"/>
          <w:sz w:val="32"/>
          <w:szCs w:val="32"/>
        </w:rPr>
        <w:t>。</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微生物测定方法及指标确定依据</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云南省乳扇生产多以小作坊及家庭为主，生产企业较少。原标准中对微生物的要求未区分预包装与散装。根据实际生产情况，散装或无包装</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市场中占据重要位置，用</w:t>
      </w:r>
      <w:r>
        <w:rPr>
          <w:rFonts w:hint="eastAsia" w:ascii="仿宋_GB2312" w:hAnsi="仿宋_GB2312" w:eastAsia="仿宋_GB2312" w:cs="仿宋_GB2312"/>
          <w:sz w:val="32"/>
          <w:szCs w:val="32"/>
          <w:lang w:eastAsia="zh-CN"/>
        </w:rPr>
        <w:t>《乳扇》</w:t>
      </w:r>
      <w:r>
        <w:rPr>
          <w:rFonts w:hint="eastAsia" w:ascii="仿宋_GB2312" w:hAnsi="仿宋_GB2312" w:eastAsia="仿宋_GB2312" w:cs="仿宋_GB2312"/>
          <w:sz w:val="32"/>
          <w:szCs w:val="32"/>
          <w:lang w:val="en-US" w:eastAsia="zh-CN"/>
        </w:rPr>
        <w:t>2016版中</w:t>
      </w:r>
      <w:r>
        <w:rPr>
          <w:rFonts w:hint="eastAsia" w:ascii="仿宋_GB2312" w:hAnsi="仿宋_GB2312" w:eastAsia="仿宋_GB2312" w:cs="仿宋_GB2312"/>
          <w:sz w:val="32"/>
          <w:szCs w:val="32"/>
        </w:rPr>
        <w:t>的5平行规定散装产品不妥。</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收集的137批次样品进行了检测，参考日常各类检测数据及生产实际，预包装产品微生物限量应符合：大肠菌群n=5；c=2；m=100；M=1000CFU/g；沙门氏菌n=5；c=0；m=0/25g；金黄色葡萄球菌n=5；c=2；m=100；M=1000CFU/g、单核细胞增生李斯特氏菌n=5；c=0；m=0/25g的要求。本部分限值与</w:t>
      </w:r>
      <w:r>
        <w:rPr>
          <w:rFonts w:hint="eastAsia" w:ascii="仿宋_GB2312" w:hAnsi="仿宋_GB2312" w:eastAsia="仿宋_GB2312" w:cs="仿宋_GB2312"/>
          <w:sz w:val="32"/>
          <w:szCs w:val="32"/>
          <w:lang w:eastAsia="zh-CN"/>
        </w:rPr>
        <w:t>《乳扇》</w:t>
      </w:r>
      <w:r>
        <w:rPr>
          <w:rFonts w:hint="eastAsia" w:ascii="仿宋_GB2312" w:hAnsi="仿宋_GB2312" w:eastAsia="仿宋_GB2312" w:cs="仿宋_GB2312"/>
          <w:sz w:val="32"/>
          <w:szCs w:val="32"/>
          <w:lang w:val="en-US" w:eastAsia="zh-CN"/>
        </w:rPr>
        <w:t>2016版</w:t>
      </w:r>
      <w:r>
        <w:rPr>
          <w:rFonts w:hint="eastAsia" w:ascii="仿宋_GB2312" w:hAnsi="仿宋_GB2312" w:eastAsia="仿宋_GB2312" w:cs="仿宋_GB2312"/>
          <w:sz w:val="32"/>
          <w:szCs w:val="32"/>
        </w:rPr>
        <w:t>中微生物部分相同，只是明确了为预包装产品。所收集的82批样品中有16个大肠菌群不合格。其余沙门氏菌、金黄色葡萄球菌、单核细胞增生李斯特氏菌都为合格。</w:t>
      </w:r>
    </w:p>
    <w:p>
      <w:pPr>
        <w:numPr>
          <w:ilvl w:val="0"/>
          <w:numId w:val="0"/>
        </w:numPr>
        <w:spacing w:beforeLines="-2147483648" w:afterLines="-2147483648" w:line="240" w:lineRule="auto"/>
        <w:ind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散装产品收集到54组数据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51批次样品沙门氏菌、47批次单核细胞增生李斯特氏菌均为未检出（/25g）；51批次样品金黄色葡萄球菌为＜10CFU/g。考虑目前国家还没有散装非即食致病菌限量要求，结合实际检验情况分析风险较低，提出不对散装产品制定致病菌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对54批次样品还做了大肠菌群的检测，40批次作了大肠埃希氏菌O157:H7/NM的检测。其中54批次中有13批次检测出大肠菌群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但因乳</w:t>
      </w:r>
      <w:r>
        <w:rPr>
          <w:rFonts w:hint="eastAsia" w:ascii="仿宋_GB2312" w:hAnsi="仿宋_GB2312" w:eastAsia="仿宋_GB2312" w:cs="仿宋_GB2312"/>
          <w:sz w:val="32"/>
          <w:szCs w:val="32"/>
          <w:lang w:eastAsia="zh-CN"/>
        </w:rPr>
        <w:t>扇</w:t>
      </w:r>
      <w:r>
        <w:rPr>
          <w:rFonts w:hint="eastAsia" w:ascii="仿宋_GB2312" w:hAnsi="仿宋_GB2312" w:eastAsia="仿宋_GB2312" w:cs="仿宋_GB2312"/>
          <w:sz w:val="32"/>
          <w:szCs w:val="32"/>
        </w:rPr>
        <w:t>为非即食产品，大肠菌群在加热过程中可被杀灭，熟制后的产品微生物不合格的风险较低，所以不对散装产</w:t>
      </w:r>
      <w:r>
        <w:rPr>
          <w:rFonts w:hint="eastAsia" w:ascii="仿宋_GB2312" w:hAnsi="仿宋_GB2312" w:eastAsia="仿宋_GB2312" w:cs="仿宋_GB2312"/>
          <w:sz w:val="32"/>
          <w:szCs w:val="32"/>
          <w:lang w:eastAsia="zh-CN"/>
        </w:rPr>
        <w:t>品</w:t>
      </w:r>
      <w:r>
        <w:rPr>
          <w:rFonts w:hint="eastAsia" w:ascii="仿宋_GB2312" w:hAnsi="仿宋_GB2312" w:eastAsia="仿宋_GB2312" w:cs="仿宋_GB2312"/>
          <w:sz w:val="32"/>
          <w:szCs w:val="32"/>
        </w:rPr>
        <w:t>大肠菌群做限量规定。</w:t>
      </w:r>
    </w:p>
    <w:p>
      <w:pPr>
        <w:spacing w:line="360" w:lineRule="auto"/>
        <w:ind w:firstLine="640" w:firstLineChars="200"/>
        <w:jc w:val="both"/>
        <w:rPr>
          <w:rFonts w:hint="eastAsia" w:ascii="楷体" w:hAnsi="楷体" w:eastAsia="楷体" w:cs="楷体"/>
          <w:sz w:val="32"/>
          <w:szCs w:val="32"/>
        </w:rPr>
      </w:pPr>
      <w:r>
        <w:rPr>
          <w:rFonts w:hint="eastAsia" w:ascii="楷体" w:hAnsi="楷体" w:eastAsia="楷体" w:cs="楷体"/>
          <w:sz w:val="32"/>
          <w:szCs w:val="32"/>
        </w:rPr>
        <w:t>(四)食品添加剂</w:t>
      </w:r>
    </w:p>
    <w:p>
      <w:pPr>
        <w:pageBreakBefore w:val="0"/>
        <w:widowControl/>
        <w:numPr>
          <w:ilvl w:val="0"/>
          <w:numId w:val="0"/>
        </w:numPr>
        <w:kinsoku/>
        <w:wordWrap/>
        <w:overflowPunct/>
        <w:topLinePunct w:val="0"/>
        <w:bidi w:val="0"/>
        <w:snapToGrid/>
        <w:spacing w:beforeLines="-2147483648" w:afterLines="-2147483648" w:line="240" w:lineRule="auto"/>
        <w:ind w:firstLine="640" w:firstLineChars="200"/>
        <w:jc w:val="both"/>
        <w:textAlignment w:val="auto"/>
        <w:outlineLvl w:val="9"/>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食品添加剂的使用应符合GB2760的规定。</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六、征求意见的采纳情况及审定情况，重大意见分歧的处理结果和依据</w:t>
      </w:r>
    </w:p>
    <w:p>
      <w:pPr>
        <w:pageBreakBefore w:val="0"/>
        <w:widowControl/>
        <w:numPr>
          <w:ilvl w:val="0"/>
          <w:numId w:val="0"/>
        </w:numPr>
        <w:kinsoku/>
        <w:wordWrap/>
        <w:overflowPunct/>
        <w:topLinePunct w:val="0"/>
        <w:bidi w:val="0"/>
        <w:snapToGrid/>
        <w:spacing w:beforeLines="-2147483648" w:afterLines="-2147483648" w:line="240" w:lineRule="auto"/>
        <w:ind w:firstLine="640" w:firstLineChars="200"/>
        <w:jc w:val="both"/>
        <w:textAlignment w:val="auto"/>
        <w:outlineLvl w:val="9"/>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本标准在编写过程中没有重大意见分歧。向省内11家相关监管部门、检验检测机构、企业及相关单位征求意见，共收集征求意见反馈 37条。反馈意见采纳14条、部分采纳6条，并作出针对性修改。</w:t>
      </w:r>
      <w:bookmarkStart w:id="0" w:name="_GoBack"/>
      <w:bookmarkEnd w:id="0"/>
    </w:p>
    <w:p>
      <w:pPr>
        <w:pageBreakBefore w:val="0"/>
        <w:widowControl/>
        <w:numPr>
          <w:ilvl w:val="0"/>
          <w:numId w:val="0"/>
        </w:numPr>
        <w:kinsoku/>
        <w:wordWrap/>
        <w:overflowPunct/>
        <w:topLinePunct w:val="0"/>
        <w:bidi w:val="0"/>
        <w:snapToGrid/>
        <w:spacing w:beforeLines="-2147483648" w:afterLines="-2147483648" w:line="240" w:lineRule="auto"/>
        <w:ind w:firstLine="420" w:firstLineChars="0"/>
        <w:jc w:val="both"/>
        <w:textAlignment w:val="auto"/>
        <w:outlineLvl w:val="9"/>
        <w:rPr>
          <w:rFonts w:hint="eastAsia" w:ascii="仿宋_GB2312" w:hAnsi="仿宋_GB2312" w:eastAsia="仿宋_GB2312" w:cs="仿宋_GB2312"/>
          <w:kern w:val="2"/>
          <w:sz w:val="32"/>
          <w:szCs w:val="32"/>
          <w:lang w:val="en-US" w:eastAsia="zh-CN"/>
        </w:rPr>
      </w:pPr>
    </w:p>
    <w:p>
      <w:pPr>
        <w:pageBreakBefore w:val="0"/>
        <w:widowControl/>
        <w:numPr>
          <w:ilvl w:val="0"/>
          <w:numId w:val="0"/>
        </w:numPr>
        <w:kinsoku/>
        <w:wordWrap/>
        <w:overflowPunct/>
        <w:topLinePunct w:val="0"/>
        <w:bidi w:val="0"/>
        <w:snapToGrid/>
        <w:spacing w:beforeLines="-2147483648" w:afterLines="-2147483648" w:line="240" w:lineRule="auto"/>
        <w:ind w:firstLine="420" w:firstLineChars="0"/>
        <w:jc w:val="both"/>
        <w:textAlignment w:val="auto"/>
        <w:outlineLvl w:val="9"/>
        <w:rPr>
          <w:rFonts w:hint="eastAsia" w:ascii="仿宋_GB2312" w:hAnsi="仿宋_GB2312" w:eastAsia="仿宋_GB2312" w:cs="仿宋_GB2312"/>
          <w:kern w:val="2"/>
          <w:sz w:val="32"/>
          <w:szCs w:val="32"/>
          <w:lang w:val="en-US" w:eastAsia="zh-CN"/>
        </w:rPr>
      </w:pPr>
    </w:p>
    <w:p>
      <w:pPr>
        <w:pageBreakBefore w:val="0"/>
        <w:widowControl/>
        <w:numPr>
          <w:ilvl w:val="0"/>
          <w:numId w:val="0"/>
        </w:numPr>
        <w:kinsoku/>
        <w:wordWrap/>
        <w:overflowPunct/>
        <w:topLinePunct w:val="0"/>
        <w:bidi w:val="0"/>
        <w:snapToGrid/>
        <w:spacing w:beforeLines="-2147483648" w:afterLines="-2147483648" w:line="240" w:lineRule="auto"/>
        <w:ind w:firstLine="420" w:firstLineChars="0"/>
        <w:jc w:val="both"/>
        <w:textAlignment w:val="auto"/>
        <w:outlineLvl w:val="9"/>
        <w:rPr>
          <w:rFonts w:hint="eastAsia" w:ascii="仿宋_GB2312" w:hAnsi="仿宋_GB2312" w:eastAsia="仿宋_GB2312" w:cs="仿宋_GB2312"/>
          <w:kern w:val="2"/>
          <w:sz w:val="32"/>
          <w:szCs w:val="32"/>
          <w:lang w:val="en-US" w:eastAsia="zh-CN"/>
        </w:rPr>
      </w:pPr>
    </w:p>
    <w:p>
      <w:pPr>
        <w:pageBreakBefore w:val="0"/>
        <w:widowControl/>
        <w:numPr>
          <w:ilvl w:val="0"/>
          <w:numId w:val="0"/>
        </w:numPr>
        <w:kinsoku/>
        <w:wordWrap/>
        <w:overflowPunct/>
        <w:topLinePunct w:val="0"/>
        <w:bidi w:val="0"/>
        <w:snapToGrid/>
        <w:spacing w:beforeLines="-2147483648" w:afterLines="-2147483648" w:line="240" w:lineRule="auto"/>
        <w:ind w:firstLine="1280" w:firstLineChars="400"/>
        <w:jc w:val="both"/>
        <w:textAlignment w:val="auto"/>
        <w:outlineLvl w:val="9"/>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《云南省食品安全地方标准 乳扇》编写小组</w:t>
      </w:r>
    </w:p>
    <w:p>
      <w:pPr>
        <w:widowControl/>
        <w:numPr>
          <w:ilvl w:val="0"/>
          <w:numId w:val="0"/>
        </w:numPr>
        <w:spacing w:beforeLines="-2147483648" w:afterLines="-2147483648" w:line="240" w:lineRule="auto"/>
        <w:ind w:firstLine="420" w:firstLineChars="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等线">
    <w:altName w:val="Arial Unicode MS"/>
    <w:panose1 w:val="00000000000000000000"/>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B620AE"/>
    <w:multiLevelType w:val="singleLevel"/>
    <w:tmpl w:val="E2B620AE"/>
    <w:lvl w:ilvl="0" w:tentative="0">
      <w:start w:val="2"/>
      <w:numFmt w:val="chineseCounting"/>
      <w:suff w:val="nothing"/>
      <w:lvlText w:val="（%1）"/>
      <w:lvlJc w:val="left"/>
      <w:rPr>
        <w:rFonts w:hint="eastAsia"/>
      </w:rPr>
    </w:lvl>
  </w:abstractNum>
  <w:abstractNum w:abstractNumId="1">
    <w:nsid w:val="F9BBAA9E"/>
    <w:multiLevelType w:val="singleLevel"/>
    <w:tmpl w:val="F9BBAA9E"/>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Y2NDk2MzhhNDA2YWM1MDEyNjEwOTdiNzAzYmZjMDcifQ=="/>
  </w:docVars>
  <w:rsids>
    <w:rsidRoot w:val="00C46430"/>
    <w:rsid w:val="000200A3"/>
    <w:rsid w:val="00027897"/>
    <w:rsid w:val="00033820"/>
    <w:rsid w:val="00036899"/>
    <w:rsid w:val="00036AFB"/>
    <w:rsid w:val="000403E6"/>
    <w:rsid w:val="0004273C"/>
    <w:rsid w:val="00043A7F"/>
    <w:rsid w:val="00045D58"/>
    <w:rsid w:val="000504BD"/>
    <w:rsid w:val="00067945"/>
    <w:rsid w:val="00072C06"/>
    <w:rsid w:val="00073C4F"/>
    <w:rsid w:val="00084704"/>
    <w:rsid w:val="00085853"/>
    <w:rsid w:val="000930D8"/>
    <w:rsid w:val="00095742"/>
    <w:rsid w:val="00096448"/>
    <w:rsid w:val="000A1E64"/>
    <w:rsid w:val="000A3FB5"/>
    <w:rsid w:val="000A4CCA"/>
    <w:rsid w:val="000B3D31"/>
    <w:rsid w:val="000C27ED"/>
    <w:rsid w:val="000C484C"/>
    <w:rsid w:val="000C4C39"/>
    <w:rsid w:val="000C5870"/>
    <w:rsid w:val="000D0028"/>
    <w:rsid w:val="000E0FFF"/>
    <w:rsid w:val="000E6AEC"/>
    <w:rsid w:val="000F2D65"/>
    <w:rsid w:val="00101487"/>
    <w:rsid w:val="00107566"/>
    <w:rsid w:val="00114746"/>
    <w:rsid w:val="00115AE9"/>
    <w:rsid w:val="001237A2"/>
    <w:rsid w:val="001269D4"/>
    <w:rsid w:val="00132693"/>
    <w:rsid w:val="00156FE7"/>
    <w:rsid w:val="00165FB4"/>
    <w:rsid w:val="0017110E"/>
    <w:rsid w:val="00176D2B"/>
    <w:rsid w:val="0018550C"/>
    <w:rsid w:val="0019366D"/>
    <w:rsid w:val="001954F7"/>
    <w:rsid w:val="00197BA6"/>
    <w:rsid w:val="001A04A8"/>
    <w:rsid w:val="001A61AB"/>
    <w:rsid w:val="001A75B0"/>
    <w:rsid w:val="001B072C"/>
    <w:rsid w:val="001B0F21"/>
    <w:rsid w:val="001B158A"/>
    <w:rsid w:val="001C77B5"/>
    <w:rsid w:val="001D3A3E"/>
    <w:rsid w:val="001D5AD0"/>
    <w:rsid w:val="001F0467"/>
    <w:rsid w:val="001F20FD"/>
    <w:rsid w:val="002074F3"/>
    <w:rsid w:val="00207619"/>
    <w:rsid w:val="00211503"/>
    <w:rsid w:val="002115EE"/>
    <w:rsid w:val="002164B0"/>
    <w:rsid w:val="002266BA"/>
    <w:rsid w:val="00236FBB"/>
    <w:rsid w:val="00247A10"/>
    <w:rsid w:val="00252459"/>
    <w:rsid w:val="00252C54"/>
    <w:rsid w:val="002636A8"/>
    <w:rsid w:val="002655A1"/>
    <w:rsid w:val="00266AF4"/>
    <w:rsid w:val="0027011E"/>
    <w:rsid w:val="00271DAC"/>
    <w:rsid w:val="0028371A"/>
    <w:rsid w:val="002841D1"/>
    <w:rsid w:val="0029202F"/>
    <w:rsid w:val="0029702F"/>
    <w:rsid w:val="002C74A1"/>
    <w:rsid w:val="002D695B"/>
    <w:rsid w:val="002E2528"/>
    <w:rsid w:val="002F49BA"/>
    <w:rsid w:val="002F4E31"/>
    <w:rsid w:val="00305E80"/>
    <w:rsid w:val="00331755"/>
    <w:rsid w:val="003421D4"/>
    <w:rsid w:val="00342802"/>
    <w:rsid w:val="003513A9"/>
    <w:rsid w:val="00361286"/>
    <w:rsid w:val="00367FB3"/>
    <w:rsid w:val="003728AE"/>
    <w:rsid w:val="003748E1"/>
    <w:rsid w:val="00377291"/>
    <w:rsid w:val="00387302"/>
    <w:rsid w:val="003A6E7E"/>
    <w:rsid w:val="003A7304"/>
    <w:rsid w:val="003C272F"/>
    <w:rsid w:val="003D00EB"/>
    <w:rsid w:val="003E4997"/>
    <w:rsid w:val="003F3E94"/>
    <w:rsid w:val="00401147"/>
    <w:rsid w:val="00421061"/>
    <w:rsid w:val="0042224E"/>
    <w:rsid w:val="004239FA"/>
    <w:rsid w:val="0048606B"/>
    <w:rsid w:val="004862F8"/>
    <w:rsid w:val="00493FAC"/>
    <w:rsid w:val="004A1CEF"/>
    <w:rsid w:val="004A63D5"/>
    <w:rsid w:val="004B7905"/>
    <w:rsid w:val="004C764B"/>
    <w:rsid w:val="004D07C1"/>
    <w:rsid w:val="004D1ADB"/>
    <w:rsid w:val="004D1FEC"/>
    <w:rsid w:val="004E129E"/>
    <w:rsid w:val="004E5644"/>
    <w:rsid w:val="004F2844"/>
    <w:rsid w:val="0050025A"/>
    <w:rsid w:val="00500C93"/>
    <w:rsid w:val="00507DAB"/>
    <w:rsid w:val="00530918"/>
    <w:rsid w:val="00532C7E"/>
    <w:rsid w:val="00534DF0"/>
    <w:rsid w:val="00554768"/>
    <w:rsid w:val="005551D4"/>
    <w:rsid w:val="00564970"/>
    <w:rsid w:val="0058110E"/>
    <w:rsid w:val="00585178"/>
    <w:rsid w:val="00591815"/>
    <w:rsid w:val="00592BF7"/>
    <w:rsid w:val="00596F58"/>
    <w:rsid w:val="005B57CE"/>
    <w:rsid w:val="005C1B2E"/>
    <w:rsid w:val="005C1CC0"/>
    <w:rsid w:val="005D52F3"/>
    <w:rsid w:val="005E2984"/>
    <w:rsid w:val="005E3122"/>
    <w:rsid w:val="0060162C"/>
    <w:rsid w:val="006079D6"/>
    <w:rsid w:val="0061548E"/>
    <w:rsid w:val="00623D8E"/>
    <w:rsid w:val="00637ECC"/>
    <w:rsid w:val="0064172B"/>
    <w:rsid w:val="00644EA6"/>
    <w:rsid w:val="00654088"/>
    <w:rsid w:val="00662921"/>
    <w:rsid w:val="00671E09"/>
    <w:rsid w:val="00674E6E"/>
    <w:rsid w:val="00680048"/>
    <w:rsid w:val="00682DD5"/>
    <w:rsid w:val="00685C49"/>
    <w:rsid w:val="00695E97"/>
    <w:rsid w:val="006A0CF5"/>
    <w:rsid w:val="006A6668"/>
    <w:rsid w:val="006B63EF"/>
    <w:rsid w:val="006C4770"/>
    <w:rsid w:val="006C5408"/>
    <w:rsid w:val="006C6E48"/>
    <w:rsid w:val="006D37BC"/>
    <w:rsid w:val="006D4553"/>
    <w:rsid w:val="006E5AC4"/>
    <w:rsid w:val="00711E9E"/>
    <w:rsid w:val="00714922"/>
    <w:rsid w:val="007200C1"/>
    <w:rsid w:val="007237A6"/>
    <w:rsid w:val="00724920"/>
    <w:rsid w:val="0072498D"/>
    <w:rsid w:val="007263B8"/>
    <w:rsid w:val="00735228"/>
    <w:rsid w:val="00744033"/>
    <w:rsid w:val="00751DE0"/>
    <w:rsid w:val="007719DA"/>
    <w:rsid w:val="00782938"/>
    <w:rsid w:val="00782B1C"/>
    <w:rsid w:val="007850D0"/>
    <w:rsid w:val="00786C73"/>
    <w:rsid w:val="00790CB5"/>
    <w:rsid w:val="00794604"/>
    <w:rsid w:val="007A1A71"/>
    <w:rsid w:val="007B0E36"/>
    <w:rsid w:val="007D0CA5"/>
    <w:rsid w:val="007E59F3"/>
    <w:rsid w:val="00821251"/>
    <w:rsid w:val="00822CF4"/>
    <w:rsid w:val="00823E03"/>
    <w:rsid w:val="008266CE"/>
    <w:rsid w:val="00870B64"/>
    <w:rsid w:val="00872975"/>
    <w:rsid w:val="00875975"/>
    <w:rsid w:val="00877699"/>
    <w:rsid w:val="008905FF"/>
    <w:rsid w:val="00892ED3"/>
    <w:rsid w:val="00896184"/>
    <w:rsid w:val="008A528B"/>
    <w:rsid w:val="008A620E"/>
    <w:rsid w:val="008B1FE5"/>
    <w:rsid w:val="008B6F1C"/>
    <w:rsid w:val="008C6D45"/>
    <w:rsid w:val="008D1783"/>
    <w:rsid w:val="008F626C"/>
    <w:rsid w:val="009156FE"/>
    <w:rsid w:val="009274A1"/>
    <w:rsid w:val="009417C3"/>
    <w:rsid w:val="00961254"/>
    <w:rsid w:val="0096362A"/>
    <w:rsid w:val="00963E2B"/>
    <w:rsid w:val="00967BF1"/>
    <w:rsid w:val="00970C34"/>
    <w:rsid w:val="0098541A"/>
    <w:rsid w:val="00990A27"/>
    <w:rsid w:val="009938FF"/>
    <w:rsid w:val="009A5074"/>
    <w:rsid w:val="009A7D4F"/>
    <w:rsid w:val="009B7799"/>
    <w:rsid w:val="009D52A4"/>
    <w:rsid w:val="009E06D6"/>
    <w:rsid w:val="009E1417"/>
    <w:rsid w:val="009E43A0"/>
    <w:rsid w:val="009E77F0"/>
    <w:rsid w:val="009F79E1"/>
    <w:rsid w:val="00A0486F"/>
    <w:rsid w:val="00A15989"/>
    <w:rsid w:val="00A642E1"/>
    <w:rsid w:val="00A74C62"/>
    <w:rsid w:val="00A8798C"/>
    <w:rsid w:val="00A904EF"/>
    <w:rsid w:val="00A9787B"/>
    <w:rsid w:val="00AA6EC2"/>
    <w:rsid w:val="00AB3010"/>
    <w:rsid w:val="00AB3CCD"/>
    <w:rsid w:val="00AC1ACC"/>
    <w:rsid w:val="00AC2C74"/>
    <w:rsid w:val="00AC3A70"/>
    <w:rsid w:val="00AC6CEA"/>
    <w:rsid w:val="00AD56A5"/>
    <w:rsid w:val="00AE39B3"/>
    <w:rsid w:val="00AE5A61"/>
    <w:rsid w:val="00B03A70"/>
    <w:rsid w:val="00B04BA5"/>
    <w:rsid w:val="00B06CB0"/>
    <w:rsid w:val="00B14833"/>
    <w:rsid w:val="00B249E9"/>
    <w:rsid w:val="00B2761E"/>
    <w:rsid w:val="00B37193"/>
    <w:rsid w:val="00B42D38"/>
    <w:rsid w:val="00B43A22"/>
    <w:rsid w:val="00B56F39"/>
    <w:rsid w:val="00B600F1"/>
    <w:rsid w:val="00B7356A"/>
    <w:rsid w:val="00B758D2"/>
    <w:rsid w:val="00B85A80"/>
    <w:rsid w:val="00B86EB1"/>
    <w:rsid w:val="00B87CA9"/>
    <w:rsid w:val="00B916C7"/>
    <w:rsid w:val="00BA50BD"/>
    <w:rsid w:val="00BC47C7"/>
    <w:rsid w:val="00BD200E"/>
    <w:rsid w:val="00BD2E6B"/>
    <w:rsid w:val="00BE1CB3"/>
    <w:rsid w:val="00BE3170"/>
    <w:rsid w:val="00BE6366"/>
    <w:rsid w:val="00BF2145"/>
    <w:rsid w:val="00C1254A"/>
    <w:rsid w:val="00C14E29"/>
    <w:rsid w:val="00C16144"/>
    <w:rsid w:val="00C21257"/>
    <w:rsid w:val="00C23C14"/>
    <w:rsid w:val="00C26DBB"/>
    <w:rsid w:val="00C33B24"/>
    <w:rsid w:val="00C4032C"/>
    <w:rsid w:val="00C46430"/>
    <w:rsid w:val="00C505D2"/>
    <w:rsid w:val="00C5708B"/>
    <w:rsid w:val="00C65BCD"/>
    <w:rsid w:val="00C71EDC"/>
    <w:rsid w:val="00C74BC2"/>
    <w:rsid w:val="00C82044"/>
    <w:rsid w:val="00C821CB"/>
    <w:rsid w:val="00C864E1"/>
    <w:rsid w:val="00C919E2"/>
    <w:rsid w:val="00C92594"/>
    <w:rsid w:val="00CA0BD7"/>
    <w:rsid w:val="00CA751F"/>
    <w:rsid w:val="00CB094D"/>
    <w:rsid w:val="00CB3B01"/>
    <w:rsid w:val="00CB5392"/>
    <w:rsid w:val="00CB68E2"/>
    <w:rsid w:val="00CC3F2D"/>
    <w:rsid w:val="00CC430D"/>
    <w:rsid w:val="00CC713B"/>
    <w:rsid w:val="00CD091E"/>
    <w:rsid w:val="00CD091F"/>
    <w:rsid w:val="00CD12D6"/>
    <w:rsid w:val="00CD2E9D"/>
    <w:rsid w:val="00CD3C9E"/>
    <w:rsid w:val="00CD57E9"/>
    <w:rsid w:val="00CD7088"/>
    <w:rsid w:val="00CE068A"/>
    <w:rsid w:val="00CE5929"/>
    <w:rsid w:val="00CF4CF5"/>
    <w:rsid w:val="00CF7F0C"/>
    <w:rsid w:val="00D04871"/>
    <w:rsid w:val="00D10176"/>
    <w:rsid w:val="00D107A8"/>
    <w:rsid w:val="00D31C16"/>
    <w:rsid w:val="00D35C05"/>
    <w:rsid w:val="00D4355A"/>
    <w:rsid w:val="00D513B0"/>
    <w:rsid w:val="00D51EF3"/>
    <w:rsid w:val="00D5357E"/>
    <w:rsid w:val="00D61C62"/>
    <w:rsid w:val="00D718C2"/>
    <w:rsid w:val="00D722DC"/>
    <w:rsid w:val="00D802EF"/>
    <w:rsid w:val="00D871AB"/>
    <w:rsid w:val="00D97FCA"/>
    <w:rsid w:val="00DA4E1E"/>
    <w:rsid w:val="00DA4F58"/>
    <w:rsid w:val="00DA5758"/>
    <w:rsid w:val="00DA6069"/>
    <w:rsid w:val="00DA732B"/>
    <w:rsid w:val="00DA7C4F"/>
    <w:rsid w:val="00DB2AE2"/>
    <w:rsid w:val="00DC6A8C"/>
    <w:rsid w:val="00DE17A1"/>
    <w:rsid w:val="00DE6878"/>
    <w:rsid w:val="00DE7F34"/>
    <w:rsid w:val="00DF4F47"/>
    <w:rsid w:val="00E03967"/>
    <w:rsid w:val="00E03A64"/>
    <w:rsid w:val="00E047E6"/>
    <w:rsid w:val="00E30CB5"/>
    <w:rsid w:val="00E378CC"/>
    <w:rsid w:val="00E425BA"/>
    <w:rsid w:val="00E50E20"/>
    <w:rsid w:val="00E51121"/>
    <w:rsid w:val="00E543E0"/>
    <w:rsid w:val="00E740EE"/>
    <w:rsid w:val="00E750A1"/>
    <w:rsid w:val="00E84C22"/>
    <w:rsid w:val="00E84DC3"/>
    <w:rsid w:val="00E925C0"/>
    <w:rsid w:val="00EA39AE"/>
    <w:rsid w:val="00EB5E2B"/>
    <w:rsid w:val="00EC0964"/>
    <w:rsid w:val="00EC79F3"/>
    <w:rsid w:val="00ED14DB"/>
    <w:rsid w:val="00EE7021"/>
    <w:rsid w:val="00EF34C2"/>
    <w:rsid w:val="00EF39C9"/>
    <w:rsid w:val="00F00D9E"/>
    <w:rsid w:val="00F1201D"/>
    <w:rsid w:val="00F12401"/>
    <w:rsid w:val="00F2033D"/>
    <w:rsid w:val="00F22EE8"/>
    <w:rsid w:val="00F26F1E"/>
    <w:rsid w:val="00F27343"/>
    <w:rsid w:val="00F34B1F"/>
    <w:rsid w:val="00F46D83"/>
    <w:rsid w:val="00F545C8"/>
    <w:rsid w:val="00F752AA"/>
    <w:rsid w:val="00F90C89"/>
    <w:rsid w:val="00F95DC5"/>
    <w:rsid w:val="00FA313F"/>
    <w:rsid w:val="00FA6C99"/>
    <w:rsid w:val="00FA7D71"/>
    <w:rsid w:val="00FB5008"/>
    <w:rsid w:val="01101675"/>
    <w:rsid w:val="01E128EA"/>
    <w:rsid w:val="01F03FDE"/>
    <w:rsid w:val="02206F93"/>
    <w:rsid w:val="026223A4"/>
    <w:rsid w:val="03217B69"/>
    <w:rsid w:val="03675EC4"/>
    <w:rsid w:val="036A6FCF"/>
    <w:rsid w:val="037979A5"/>
    <w:rsid w:val="03F51722"/>
    <w:rsid w:val="045509D1"/>
    <w:rsid w:val="052E1552"/>
    <w:rsid w:val="05690583"/>
    <w:rsid w:val="063F6B09"/>
    <w:rsid w:val="06654211"/>
    <w:rsid w:val="06C43007"/>
    <w:rsid w:val="07687E73"/>
    <w:rsid w:val="07E04497"/>
    <w:rsid w:val="086F75C9"/>
    <w:rsid w:val="08A05F2E"/>
    <w:rsid w:val="09244DCC"/>
    <w:rsid w:val="0A177036"/>
    <w:rsid w:val="0A375EC4"/>
    <w:rsid w:val="0CE71B86"/>
    <w:rsid w:val="0D0C06A8"/>
    <w:rsid w:val="0D3D1032"/>
    <w:rsid w:val="0D9547A8"/>
    <w:rsid w:val="0E5D1762"/>
    <w:rsid w:val="0FA44E2C"/>
    <w:rsid w:val="103A226A"/>
    <w:rsid w:val="10701B06"/>
    <w:rsid w:val="108B64AA"/>
    <w:rsid w:val="109C2935"/>
    <w:rsid w:val="10AB5533"/>
    <w:rsid w:val="110533C6"/>
    <w:rsid w:val="113409D4"/>
    <w:rsid w:val="12290EDC"/>
    <w:rsid w:val="12371157"/>
    <w:rsid w:val="12557AAD"/>
    <w:rsid w:val="12CD5618"/>
    <w:rsid w:val="12E13B1A"/>
    <w:rsid w:val="14B051F1"/>
    <w:rsid w:val="160053A5"/>
    <w:rsid w:val="170C256E"/>
    <w:rsid w:val="171262B0"/>
    <w:rsid w:val="172F4AF3"/>
    <w:rsid w:val="17CC433C"/>
    <w:rsid w:val="18AF7BEC"/>
    <w:rsid w:val="19843A8B"/>
    <w:rsid w:val="198C7FDB"/>
    <w:rsid w:val="1A363655"/>
    <w:rsid w:val="1AD02CD6"/>
    <w:rsid w:val="1B011B04"/>
    <w:rsid w:val="1BBA0E22"/>
    <w:rsid w:val="1BD861EC"/>
    <w:rsid w:val="1C127514"/>
    <w:rsid w:val="1D392227"/>
    <w:rsid w:val="1D952B59"/>
    <w:rsid w:val="1DAB47A7"/>
    <w:rsid w:val="1DBE6F48"/>
    <w:rsid w:val="1ECD7ED4"/>
    <w:rsid w:val="1F215463"/>
    <w:rsid w:val="1FFC753C"/>
    <w:rsid w:val="21B75E11"/>
    <w:rsid w:val="21CC797F"/>
    <w:rsid w:val="21D6072F"/>
    <w:rsid w:val="21F11323"/>
    <w:rsid w:val="21FF3314"/>
    <w:rsid w:val="225E628C"/>
    <w:rsid w:val="2297083A"/>
    <w:rsid w:val="229C6999"/>
    <w:rsid w:val="23D14A4A"/>
    <w:rsid w:val="247052C5"/>
    <w:rsid w:val="254E4396"/>
    <w:rsid w:val="262301D1"/>
    <w:rsid w:val="27E64D5A"/>
    <w:rsid w:val="28642123"/>
    <w:rsid w:val="28A54C15"/>
    <w:rsid w:val="29325D7D"/>
    <w:rsid w:val="29FB0EEE"/>
    <w:rsid w:val="2A7D37EA"/>
    <w:rsid w:val="2A997AF3"/>
    <w:rsid w:val="2C920367"/>
    <w:rsid w:val="2CE975BE"/>
    <w:rsid w:val="2CEE2429"/>
    <w:rsid w:val="2DBE04FD"/>
    <w:rsid w:val="2DD332D6"/>
    <w:rsid w:val="2E347E7D"/>
    <w:rsid w:val="2EE75737"/>
    <w:rsid w:val="2EFF6A28"/>
    <w:rsid w:val="31201963"/>
    <w:rsid w:val="3163513B"/>
    <w:rsid w:val="31CC3212"/>
    <w:rsid w:val="322A48CD"/>
    <w:rsid w:val="32450C7D"/>
    <w:rsid w:val="333F6F66"/>
    <w:rsid w:val="338C2378"/>
    <w:rsid w:val="34043597"/>
    <w:rsid w:val="34977D45"/>
    <w:rsid w:val="34F565DC"/>
    <w:rsid w:val="350B5E00"/>
    <w:rsid w:val="35EA010B"/>
    <w:rsid w:val="36344D47"/>
    <w:rsid w:val="36483532"/>
    <w:rsid w:val="3679240D"/>
    <w:rsid w:val="369105F7"/>
    <w:rsid w:val="37103BA1"/>
    <w:rsid w:val="385E6B8E"/>
    <w:rsid w:val="390028DD"/>
    <w:rsid w:val="39BB0DF0"/>
    <w:rsid w:val="39CF34F8"/>
    <w:rsid w:val="39F01A68"/>
    <w:rsid w:val="3AA82343"/>
    <w:rsid w:val="3AB30A78"/>
    <w:rsid w:val="3AEE05C8"/>
    <w:rsid w:val="3AEF7F72"/>
    <w:rsid w:val="3B6B558E"/>
    <w:rsid w:val="3C0637C5"/>
    <w:rsid w:val="3C3632B7"/>
    <w:rsid w:val="3CBA6C46"/>
    <w:rsid w:val="3D0575D8"/>
    <w:rsid w:val="3DD25D73"/>
    <w:rsid w:val="3E47204B"/>
    <w:rsid w:val="3E642A25"/>
    <w:rsid w:val="3E977202"/>
    <w:rsid w:val="3FBD2DD3"/>
    <w:rsid w:val="40012B78"/>
    <w:rsid w:val="423D0684"/>
    <w:rsid w:val="42784CF1"/>
    <w:rsid w:val="43615785"/>
    <w:rsid w:val="43FE0BC0"/>
    <w:rsid w:val="443A225E"/>
    <w:rsid w:val="446A2417"/>
    <w:rsid w:val="45833790"/>
    <w:rsid w:val="46860496"/>
    <w:rsid w:val="47273C21"/>
    <w:rsid w:val="485E01EC"/>
    <w:rsid w:val="487D4E0F"/>
    <w:rsid w:val="48EA3B26"/>
    <w:rsid w:val="4A3E67CC"/>
    <w:rsid w:val="4A8E6E5F"/>
    <w:rsid w:val="4B631750"/>
    <w:rsid w:val="4C0D2006"/>
    <w:rsid w:val="4C6065D9"/>
    <w:rsid w:val="4C863FF4"/>
    <w:rsid w:val="4D0A4797"/>
    <w:rsid w:val="4D9F75D5"/>
    <w:rsid w:val="4DCB6F48"/>
    <w:rsid w:val="4E3450A1"/>
    <w:rsid w:val="4E824F2D"/>
    <w:rsid w:val="4EA577DD"/>
    <w:rsid w:val="4F732AC8"/>
    <w:rsid w:val="4F74239C"/>
    <w:rsid w:val="501A565F"/>
    <w:rsid w:val="50BD6410"/>
    <w:rsid w:val="50EE68AA"/>
    <w:rsid w:val="5164091A"/>
    <w:rsid w:val="537465D1"/>
    <w:rsid w:val="53AF3F39"/>
    <w:rsid w:val="569C2904"/>
    <w:rsid w:val="576A2A02"/>
    <w:rsid w:val="57D20D6A"/>
    <w:rsid w:val="58505803"/>
    <w:rsid w:val="585A2A77"/>
    <w:rsid w:val="586355D4"/>
    <w:rsid w:val="587F6039"/>
    <w:rsid w:val="58B2640F"/>
    <w:rsid w:val="58D5730C"/>
    <w:rsid w:val="5A165757"/>
    <w:rsid w:val="5A724B5E"/>
    <w:rsid w:val="5B727530"/>
    <w:rsid w:val="5BA74A5A"/>
    <w:rsid w:val="5D093CE2"/>
    <w:rsid w:val="5E7F7123"/>
    <w:rsid w:val="5EB76635"/>
    <w:rsid w:val="5EDC2437"/>
    <w:rsid w:val="5F4D607E"/>
    <w:rsid w:val="5F8352E7"/>
    <w:rsid w:val="60025ECE"/>
    <w:rsid w:val="60D50917"/>
    <w:rsid w:val="61CF4ABE"/>
    <w:rsid w:val="624272C5"/>
    <w:rsid w:val="624F2E59"/>
    <w:rsid w:val="63F41E5E"/>
    <w:rsid w:val="643C5726"/>
    <w:rsid w:val="6477675E"/>
    <w:rsid w:val="64994927"/>
    <w:rsid w:val="6548174A"/>
    <w:rsid w:val="663F14FE"/>
    <w:rsid w:val="66476B75"/>
    <w:rsid w:val="669E1784"/>
    <w:rsid w:val="675B3101"/>
    <w:rsid w:val="678C0B80"/>
    <w:rsid w:val="67DF79C7"/>
    <w:rsid w:val="686A5B42"/>
    <w:rsid w:val="68E40E25"/>
    <w:rsid w:val="692A4CAD"/>
    <w:rsid w:val="692E4FE8"/>
    <w:rsid w:val="6B670198"/>
    <w:rsid w:val="6BAC0267"/>
    <w:rsid w:val="6CC50366"/>
    <w:rsid w:val="6CC664D5"/>
    <w:rsid w:val="6CDA300F"/>
    <w:rsid w:val="6CFE4ADC"/>
    <w:rsid w:val="6E061278"/>
    <w:rsid w:val="6EA01EB1"/>
    <w:rsid w:val="6F2D1DA5"/>
    <w:rsid w:val="6F4E3AAC"/>
    <w:rsid w:val="6FDF7997"/>
    <w:rsid w:val="704B5D09"/>
    <w:rsid w:val="70C25205"/>
    <w:rsid w:val="719F2969"/>
    <w:rsid w:val="71EC2889"/>
    <w:rsid w:val="72971970"/>
    <w:rsid w:val="73351CBE"/>
    <w:rsid w:val="741A735A"/>
    <w:rsid w:val="744C0277"/>
    <w:rsid w:val="74F31E31"/>
    <w:rsid w:val="750E1184"/>
    <w:rsid w:val="75AD54A2"/>
    <w:rsid w:val="762027B2"/>
    <w:rsid w:val="775E2934"/>
    <w:rsid w:val="780305DD"/>
    <w:rsid w:val="780E298E"/>
    <w:rsid w:val="789B6A68"/>
    <w:rsid w:val="79EA1A55"/>
    <w:rsid w:val="79F17868"/>
    <w:rsid w:val="7B6A44CF"/>
    <w:rsid w:val="7B98103C"/>
    <w:rsid w:val="7BD73D68"/>
    <w:rsid w:val="7CAC1A0D"/>
    <w:rsid w:val="7D6C5E5F"/>
    <w:rsid w:val="7D8C697F"/>
    <w:rsid w:val="7DF56BF6"/>
    <w:rsid w:val="7E0D390E"/>
    <w:rsid w:val="7F09322F"/>
    <w:rsid w:val="7F343D59"/>
    <w:rsid w:val="7F896708"/>
    <w:rsid w:val="7FBE6094"/>
    <w:rsid w:val="ABED8CD7"/>
    <w:rsid w:val="B7DE34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w:basedOn w:val="1"/>
    <w:link w:val="11"/>
    <w:qFormat/>
    <w:uiPriority w:val="0"/>
    <w:pPr>
      <w:spacing w:after="120"/>
    </w:pPr>
    <w:rPr>
      <w:rFonts w:ascii="Times New Roman" w:hAnsi="Times New Roman" w:eastAsia="仿宋_GB2312" w:cs="Times New Roman"/>
      <w:sz w:val="32"/>
      <w:szCs w:val="24"/>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qFormat/>
    <w:uiPriority w:val="0"/>
    <w:rPr>
      <w:b/>
      <w:bCs/>
    </w:rPr>
  </w:style>
  <w:style w:type="character" w:styleId="8">
    <w:name w:val="page number"/>
    <w:basedOn w:val="6"/>
    <w:qFormat/>
    <w:uiPriority w:val="0"/>
  </w:style>
  <w:style w:type="table" w:styleId="10">
    <w:name w:val="Table Grid"/>
    <w:basedOn w:val="9"/>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1">
    <w:name w:val="正文文本 Char"/>
    <w:basedOn w:val="6"/>
    <w:link w:val="3"/>
    <w:qFormat/>
    <w:uiPriority w:val="0"/>
    <w:rPr>
      <w:rFonts w:ascii="Times New Roman" w:hAnsi="Times New Roman" w:eastAsia="仿宋_GB2312" w:cs="Times New Roman"/>
      <w:sz w:val="32"/>
      <w:szCs w:val="24"/>
    </w:rPr>
  </w:style>
  <w:style w:type="character" w:customStyle="1" w:styleId="12">
    <w:name w:val="页脚 Char"/>
    <w:basedOn w:val="6"/>
    <w:link w:val="4"/>
    <w:qFormat/>
    <w:uiPriority w:val="99"/>
    <w:rPr>
      <w:rFonts w:asciiTheme="minorHAnsi" w:hAnsiTheme="minorHAnsi" w:eastAsiaTheme="minorEastAsia" w:cstheme="minorBidi"/>
      <w:kern w:val="2"/>
      <w:sz w:val="18"/>
      <w:szCs w:val="18"/>
    </w:rPr>
  </w:style>
  <w:style w:type="character" w:customStyle="1" w:styleId="13">
    <w:name w:val="页眉 Char"/>
    <w:basedOn w:val="6"/>
    <w:link w:val="5"/>
    <w:qFormat/>
    <w:uiPriority w:val="99"/>
    <w:rPr>
      <w:rFonts w:asciiTheme="minorHAnsi" w:hAnsiTheme="minorHAnsi" w:eastAsiaTheme="minorEastAsia" w:cstheme="minorBidi"/>
      <w:kern w:val="2"/>
      <w:sz w:val="18"/>
      <w:szCs w:val="18"/>
    </w:rPr>
  </w:style>
  <w:style w:type="paragraph" w:styleId="14">
    <w:name w:val="List Paragraph"/>
    <w:basedOn w:val="1"/>
    <w:qFormat/>
    <w:uiPriority w:val="34"/>
    <w:pPr>
      <w:ind w:firstLine="420" w:firstLineChars="200"/>
    </w:pPr>
  </w:style>
  <w:style w:type="table" w:customStyle="1" w:styleId="15">
    <w:name w:val="Table Normal"/>
    <w:semiHidden/>
    <w:unhideWhenUsed/>
    <w:qFormat/>
    <w:uiPriority w:val="2"/>
    <w:pPr>
      <w:widowControl w:val="0"/>
      <w:autoSpaceDE w:val="0"/>
      <w:autoSpaceDN w:val="0"/>
    </w:pPr>
    <w:rPr>
      <w:sz w:val="22"/>
      <w:lang w:eastAsia="en-US"/>
    </w:rPr>
    <w:tblPr>
      <w:tblLayout w:type="fixed"/>
      <w:tblCellMar>
        <w:top w:w="0" w:type="dxa"/>
        <w:left w:w="0" w:type="dxa"/>
        <w:bottom w:w="0" w:type="dxa"/>
        <w:right w:w="0" w:type="dxa"/>
      </w:tblCellMar>
    </w:tblPr>
  </w:style>
  <w:style w:type="paragraph" w:customStyle="1" w:styleId="16">
    <w:name w:val="Table Paragraph"/>
    <w:basedOn w:val="1"/>
    <w:qFormat/>
    <w:uiPriority w:val="1"/>
    <w:pPr>
      <w:autoSpaceDE w:val="0"/>
      <w:autoSpaceDN w:val="0"/>
      <w:jc w:val="left"/>
    </w:pPr>
    <w:rPr>
      <w:rFonts w:ascii="宋体" w:hAnsi="宋体" w:eastAsia="宋体" w:cs="宋体"/>
      <w:kern w:val="0"/>
      <w:sz w:val="22"/>
    </w:rPr>
  </w:style>
  <w:style w:type="paragraph" w:customStyle="1" w:styleId="17">
    <w:name w:val="段"/>
    <w:link w:val="18"/>
    <w:qFormat/>
    <w:uiPriority w:val="0"/>
    <w:pPr>
      <w:autoSpaceDE w:val="0"/>
      <w:autoSpaceDN w:val="0"/>
      <w:spacing w:line="360" w:lineRule="auto"/>
      <w:ind w:firstLine="200" w:firstLineChars="200"/>
      <w:jc w:val="both"/>
    </w:pPr>
    <w:rPr>
      <w:rFonts w:ascii="宋体" w:hAnsi="Times New Roman" w:eastAsia="宋体" w:cs="Times New Roman"/>
      <w:sz w:val="21"/>
      <w:lang w:val="en-US" w:eastAsia="zh-CN" w:bidi="ar-SA"/>
    </w:rPr>
  </w:style>
  <w:style w:type="character" w:customStyle="1" w:styleId="18">
    <w:name w:val="段 Char"/>
    <w:link w:val="17"/>
    <w:qFormat/>
    <w:uiPriority w:val="0"/>
    <w:rPr>
      <w:rFonts w:ascii="宋体"/>
      <w:sz w:val="21"/>
    </w:rPr>
  </w:style>
  <w:style w:type="character" w:customStyle="1" w:styleId="19">
    <w:name w:val="font31"/>
    <w:basedOn w:val="6"/>
    <w:qFormat/>
    <w:uiPriority w:val="0"/>
    <w:rPr>
      <w:rFonts w:hint="eastAsia" w:ascii="等线" w:hAnsi="等线" w:eastAsia="等线" w:cs="等线"/>
      <w:color w:val="000000"/>
      <w:sz w:val="20"/>
      <w:szCs w:val="20"/>
      <w:u w:val="none"/>
    </w:rPr>
  </w:style>
  <w:style w:type="character" w:customStyle="1" w:styleId="20">
    <w:name w:val="font11"/>
    <w:basedOn w:val="6"/>
    <w:qFormat/>
    <w:uiPriority w:val="0"/>
    <w:rPr>
      <w:rFonts w:hint="default" w:ascii="Courier New" w:hAnsi="Courier New" w:cs="Courier New"/>
      <w:color w:val="000000"/>
      <w:sz w:val="20"/>
      <w:szCs w:val="20"/>
      <w:u w:val="none"/>
    </w:rPr>
  </w:style>
  <w:style w:type="character" w:customStyle="1" w:styleId="21">
    <w:name w:val="font51"/>
    <w:basedOn w:val="6"/>
    <w:qFormat/>
    <w:uiPriority w:val="0"/>
    <w:rPr>
      <w:rFonts w:hint="eastAsia" w:ascii="宋体" w:hAnsi="宋体" w:eastAsia="宋体" w:cs="宋体"/>
      <w:color w:val="FF0000"/>
      <w:sz w:val="20"/>
      <w:szCs w:val="20"/>
      <w:u w:val="none"/>
    </w:rPr>
  </w:style>
  <w:style w:type="character" w:customStyle="1" w:styleId="22">
    <w:name w:val="font01"/>
    <w:basedOn w:val="6"/>
    <w:qFormat/>
    <w:uiPriority w:val="0"/>
    <w:rPr>
      <w:rFonts w:hint="eastAsia" w:ascii="等线" w:hAnsi="等线" w:eastAsia="等线" w:cs="等线"/>
      <w:color w:val="000000"/>
      <w:sz w:val="22"/>
      <w:szCs w:val="22"/>
      <w:u w:val="none"/>
    </w:rPr>
  </w:style>
  <w:style w:type="character" w:customStyle="1" w:styleId="23">
    <w:name w:val="font21"/>
    <w:basedOn w:val="6"/>
    <w:qFormat/>
    <w:uiPriority w:val="0"/>
    <w:rPr>
      <w:rFonts w:hint="default" w:ascii="Courier New" w:hAnsi="Courier New" w:cs="Courier New"/>
      <w:color w:val="000000"/>
      <w:sz w:val="20"/>
      <w:szCs w:val="20"/>
      <w:u w:val="none"/>
    </w:rPr>
  </w:style>
  <w:style w:type="character" w:customStyle="1" w:styleId="24">
    <w:name w:val="font41"/>
    <w:basedOn w:val="6"/>
    <w:qFormat/>
    <w:uiPriority w:val="0"/>
    <w:rPr>
      <w:rFonts w:hint="default" w:ascii="Courier New" w:hAnsi="Courier New" w:cs="Courier New"/>
      <w:color w:val="FF0000"/>
      <w:sz w:val="20"/>
      <w:szCs w:val="20"/>
      <w:u w:val="none"/>
    </w:rPr>
  </w:style>
  <w:style w:type="paragraph" w:customStyle="1" w:styleId="25">
    <w:name w:val="章标题"/>
    <w:basedOn w:val="1"/>
    <w:next w:val="17"/>
    <w:qFormat/>
    <w:uiPriority w:val="0"/>
    <w:pPr>
      <w:widowControl/>
      <w:spacing w:beforeLines="100"/>
      <w:outlineLvl w:val="1"/>
    </w:pPr>
    <w:rPr>
      <w:rFonts w:hint="eastAsia" w:ascii="黑体" w:hAnsi="Times New Roman" w:eastAsia="黑体" w:cs="Times New Roman"/>
      <w:kern w:val="0"/>
      <w:szCs w:val="20"/>
    </w:rPr>
  </w:style>
  <w:style w:type="paragraph" w:customStyle="1" w:styleId="26">
    <w:name w:val="一级条标题"/>
    <w:next w:val="17"/>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27">
    <w:name w:val="二级条标题"/>
    <w:basedOn w:val="26"/>
    <w:next w:val="17"/>
    <w:qFormat/>
    <w:uiPriority w:val="0"/>
    <w:pPr>
      <w:spacing w:before="50" w:after="50"/>
      <w:outlineLvl w:val="3"/>
    </w:pPr>
  </w:style>
  <w:style w:type="paragraph" w:customStyle="1" w:styleId="28">
    <w:name w:val="三级条标题"/>
    <w:basedOn w:val="27"/>
    <w:next w:val="17"/>
    <w:qFormat/>
    <w:uiPriority w:val="0"/>
    <w:pPr>
      <w:outlineLvl w:val="4"/>
    </w:pPr>
  </w:style>
  <w:style w:type="paragraph" w:customStyle="1" w:styleId="29">
    <w:name w:val="四级条标题"/>
    <w:basedOn w:val="28"/>
    <w:next w:val="17"/>
    <w:qFormat/>
    <w:uiPriority w:val="0"/>
    <w:pPr>
      <w:outlineLvl w:val="5"/>
    </w:pPr>
  </w:style>
  <w:style w:type="paragraph" w:customStyle="1" w:styleId="30">
    <w:name w:val="五级条标题"/>
    <w:basedOn w:val="29"/>
    <w:next w:val="17"/>
    <w:qFormat/>
    <w:uiPriority w:val="0"/>
    <w:pPr>
      <w:outlineLvl w:val="6"/>
    </w:pPr>
  </w:style>
  <w:style w:type="paragraph" w:customStyle="1" w:styleId="31">
    <w:name w:val="二级无"/>
    <w:basedOn w:val="27"/>
    <w:qFormat/>
    <w:uiPriority w:val="0"/>
    <w:pPr>
      <w:spacing w:beforeLines="0" w:afterLines="0"/>
    </w:pPr>
    <w:rPr>
      <w:rFonts w:ascii="宋体" w:eastAsia="宋体"/>
    </w:rPr>
  </w:style>
  <w:style w:type="paragraph" w:styleId="32">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3772</Words>
  <Characters>4310</Characters>
  <Lines>127</Lines>
  <Paragraphs>35</Paragraphs>
  <TotalTime>51</TotalTime>
  <ScaleCrop>false</ScaleCrop>
  <LinksUpToDate>false</LinksUpToDate>
  <CharactersWithSpaces>4347</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2024-01-12T08:53:00Z</dcterms:created>
  <dc:creator>lenovo</dc:creator>
  <cp:lastModifiedBy>刘亚超</cp:lastModifiedBy>
  <cp:lastPrinted>2024-09-12T16:54:00Z</cp:lastPrinted>
  <dcterms:modified xsi:type="dcterms:W3CDTF">2025-12-29T08:25:06Z</dcterms:modified>
  <cp:revision>271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60A717C92C5A4A36B1F97578C85C180C</vt:lpwstr>
  </property>
  <property fmtid="{D5CDD505-2E9C-101B-9397-08002B2CF9AE}" pid="4" name="KSOTemplateDocerSaveRecord">
    <vt:lpwstr>eyJoZGlkIjoiMzY2NDk2MzhhNDA2YWM1MDEyNjEwOTdiNzAzYmZjMDciLCJ1c2VySWQiOiI3NDU3ODIwMDAifQ==</vt:lpwstr>
  </property>
</Properties>
</file>