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479E1B">
      <w:pPr>
        <w:keepNext w:val="0"/>
        <w:keepLines w:val="0"/>
        <w:pageBreakBefore w:val="0"/>
        <w:widowControl w:val="0"/>
        <w:numPr>
          <w:ilvl w:val="0"/>
          <w:numId w:val="0"/>
        </w:numPr>
        <w:kinsoku/>
        <w:wordWrap/>
        <w:overflowPunct/>
        <w:topLinePunct w:val="0"/>
        <w:autoSpaceDE/>
        <w:autoSpaceDN/>
        <w:bidi w:val="0"/>
        <w:adjustRightInd/>
        <w:snapToGrid/>
        <w:spacing w:line="570" w:lineRule="exact"/>
        <w:textAlignment w:val="auto"/>
        <w:rPr>
          <w:rFonts w:hint="eastAsia" w:ascii="方正黑体_GBK" w:hAnsi="方正黑体_GBK" w:eastAsia="方正黑体_GBK" w:cs="方正黑体_GBK"/>
          <w:sz w:val="32"/>
          <w:szCs w:val="32"/>
          <w:lang w:val="en-US" w:eastAsia="zh-CN"/>
        </w:rPr>
      </w:pPr>
    </w:p>
    <w:p w14:paraId="7A67E83B">
      <w:pPr>
        <w:keepNext w:val="0"/>
        <w:keepLines w:val="0"/>
        <w:pageBreakBefore w:val="0"/>
        <w:widowControl w:val="0"/>
        <w:numPr>
          <w:ilvl w:val="0"/>
          <w:numId w:val="0"/>
        </w:numPr>
        <w:kinsoku/>
        <w:wordWrap/>
        <w:overflowPunct/>
        <w:topLinePunct w:val="0"/>
        <w:autoSpaceDE/>
        <w:autoSpaceDN/>
        <w:bidi w:val="0"/>
        <w:adjustRightInd/>
        <w:snapToGrid/>
        <w:spacing w:line="570" w:lineRule="exact"/>
        <w:textAlignment w:val="auto"/>
        <w:rPr>
          <w:rFonts w:hint="eastAsia" w:ascii="方正黑体_GBK" w:hAnsi="方正黑体_GBK" w:eastAsia="方正黑体_GBK" w:cs="方正黑体_GBK"/>
          <w:sz w:val="32"/>
          <w:szCs w:val="32"/>
          <w:lang w:val="en-US" w:eastAsia="zh-CN"/>
        </w:rPr>
      </w:pPr>
      <w:bookmarkStart w:id="0" w:name="_GoBack"/>
      <w:r>
        <w:rPr>
          <w:rFonts w:hint="eastAsia" w:ascii="方正黑体_GBK" w:hAnsi="方正黑体_GBK" w:eastAsia="方正黑体_GBK" w:cs="方正黑体_GBK"/>
          <w:sz w:val="32"/>
          <w:szCs w:val="32"/>
          <w:lang w:val="en-US" w:eastAsia="zh-CN"/>
        </w:rPr>
        <w:t>附件2</w:t>
      </w:r>
    </w:p>
    <w:bookmarkEnd w:id="0"/>
    <w:p w14:paraId="72DF26A2">
      <w:pPr>
        <w:keepNext w:val="0"/>
        <w:keepLines w:val="0"/>
        <w:pageBreakBefore w:val="0"/>
        <w:widowControl w:val="0"/>
        <w:numPr>
          <w:ilvl w:val="0"/>
          <w:numId w:val="0"/>
        </w:numPr>
        <w:kinsoku/>
        <w:wordWrap/>
        <w:overflowPunct/>
        <w:topLinePunct w:val="0"/>
        <w:autoSpaceDE/>
        <w:autoSpaceDN/>
        <w:bidi w:val="0"/>
        <w:adjustRightInd/>
        <w:snapToGrid/>
        <w:spacing w:line="570" w:lineRule="exact"/>
        <w:textAlignment w:val="auto"/>
        <w:rPr>
          <w:rFonts w:hint="eastAsia" w:ascii="方正小标宋_GBK" w:hAnsi="方正小标宋_GBK" w:eastAsia="方正小标宋_GBK" w:cs="方正小标宋_GBK"/>
          <w:sz w:val="44"/>
          <w:szCs w:val="44"/>
          <w:lang w:eastAsia="zh-CN"/>
        </w:rPr>
      </w:pPr>
    </w:p>
    <w:p w14:paraId="08EF04CC">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440" w:firstLineChars="100"/>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lang w:val="en-US" w:eastAsia="zh-CN"/>
        </w:rPr>
        <w:t>三级医院评审标准（2025年版）云南省</w:t>
      </w:r>
    </w:p>
    <w:p w14:paraId="504CDBFE">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1760" w:firstLineChars="400"/>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实施细则（试行）</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lang w:val="en-US" w:eastAsia="zh-CN"/>
        </w:rPr>
        <w:t>前置条件</w:t>
      </w:r>
    </w:p>
    <w:p w14:paraId="71764EB9">
      <w:pPr>
        <w:keepNext w:val="0"/>
        <w:keepLines w:val="0"/>
        <w:pageBreakBefore w:val="0"/>
        <w:widowControl w:val="0"/>
        <w:kinsoku/>
        <w:wordWrap/>
        <w:overflowPunct/>
        <w:topLinePunct w:val="0"/>
        <w:autoSpaceDE/>
        <w:autoSpaceDN/>
        <w:bidi w:val="0"/>
        <w:adjustRightInd/>
        <w:snapToGrid w:val="0"/>
        <w:spacing w:line="570" w:lineRule="exact"/>
        <w:ind w:left="0" w:leftChars="0" w:right="0" w:rightChars="0" w:firstLine="640" w:firstLineChars="200"/>
        <w:jc w:val="both"/>
        <w:textAlignment w:val="baseline"/>
        <w:outlineLvl w:val="1"/>
        <w:rPr>
          <w:rFonts w:hint="eastAsia" w:ascii="方正黑体_GBK" w:hAnsi="方正黑体_GBK" w:eastAsia="方正黑体_GBK" w:cs="方正黑体_GBK"/>
          <w:bCs/>
          <w:color w:val="000000"/>
          <w:sz w:val="32"/>
        </w:rPr>
      </w:pPr>
    </w:p>
    <w:p w14:paraId="6B37254F">
      <w:pPr>
        <w:keepNext w:val="0"/>
        <w:keepLines w:val="0"/>
        <w:pageBreakBefore w:val="0"/>
        <w:widowControl w:val="0"/>
        <w:kinsoku/>
        <w:wordWrap/>
        <w:overflowPunct/>
        <w:topLinePunct w:val="0"/>
        <w:autoSpaceDE/>
        <w:autoSpaceDN/>
        <w:bidi w:val="0"/>
        <w:adjustRightInd/>
        <w:snapToGrid w:val="0"/>
        <w:spacing w:line="570" w:lineRule="exact"/>
        <w:ind w:left="0" w:leftChars="0" w:right="0" w:rightChars="0" w:firstLine="640" w:firstLineChars="200"/>
        <w:jc w:val="both"/>
        <w:textAlignment w:val="baseline"/>
        <w:outlineLvl w:val="1"/>
        <w:rPr>
          <w:rFonts w:hint="eastAsia" w:ascii="方正黑体_GBK" w:hAnsi="方正黑体_GBK" w:eastAsia="方正黑体_GBK" w:cs="方正黑体_GBK"/>
          <w:bCs/>
          <w:color w:val="000000"/>
          <w:sz w:val="32"/>
        </w:rPr>
      </w:pPr>
      <w:r>
        <w:rPr>
          <w:rFonts w:hint="eastAsia" w:ascii="方正黑体_GBK" w:hAnsi="方正黑体_GBK" w:eastAsia="方正黑体_GBK" w:cs="方正黑体_GBK"/>
          <w:bCs/>
          <w:color w:val="000000"/>
          <w:sz w:val="32"/>
        </w:rPr>
        <w:t>一 、床位规模和科室设置</w:t>
      </w:r>
    </w:p>
    <w:p w14:paraId="5A0B8AE3">
      <w:pPr>
        <w:pStyle w:val="2"/>
        <w:keepNext w:val="0"/>
        <w:keepLines w:val="0"/>
        <w:pageBreakBefore w:val="0"/>
        <w:widowControl w:val="0"/>
        <w:kinsoku/>
        <w:wordWrap/>
        <w:overflowPunct/>
        <w:topLinePunct w:val="0"/>
        <w:autoSpaceDE/>
        <w:autoSpaceDN/>
        <w:bidi w:val="0"/>
        <w:adjustRightInd/>
        <w:snapToGrid w:val="0"/>
        <w:spacing w:line="570" w:lineRule="exact"/>
        <w:ind w:right="0" w:rightChars="0" w:firstLine="640" w:firstLineChars="200"/>
        <w:jc w:val="both"/>
        <w:textAlignment w:val="baseline"/>
        <w:rPr>
          <w:rFonts w:hint="eastAsia" w:ascii="方正仿宋_GBK" w:hAnsi="方正仿宋_GBK" w:eastAsia="方正仿宋_GBK" w:cs="方正仿宋_GBK"/>
          <w:color w:val="000000"/>
        </w:rPr>
      </w:pPr>
      <w:r>
        <w:rPr>
          <w:rFonts w:hint="eastAsia" w:ascii="方正仿宋_GBK" w:hAnsi="方正仿宋_GBK" w:eastAsia="方正仿宋_GBK" w:cs="方正仿宋_GBK"/>
          <w:color w:val="000000"/>
          <w:lang w:eastAsia="zh-CN"/>
        </w:rPr>
        <w:t>（</w:t>
      </w:r>
      <w:r>
        <w:rPr>
          <w:rFonts w:hint="eastAsia" w:ascii="方正仿宋_GBK" w:hAnsi="方正仿宋_GBK" w:eastAsia="方正仿宋_GBK" w:cs="方正仿宋_GBK"/>
          <w:color w:val="000000"/>
          <w:lang w:val="en-US" w:eastAsia="zh-CN"/>
        </w:rPr>
        <w:t>一</w:t>
      </w:r>
      <w:r>
        <w:rPr>
          <w:rFonts w:hint="eastAsia" w:ascii="方正仿宋_GBK" w:hAnsi="方正仿宋_GBK" w:eastAsia="方正仿宋_GBK" w:cs="方正仿宋_GBK"/>
          <w:color w:val="000000"/>
          <w:lang w:eastAsia="zh-CN"/>
        </w:rPr>
        <w:t>）</w:t>
      </w:r>
      <w:r>
        <w:rPr>
          <w:rFonts w:hint="eastAsia" w:ascii="方正仿宋_GBK" w:hAnsi="方正仿宋_GBK" w:eastAsia="方正仿宋_GBK" w:cs="方正仿宋_GBK"/>
          <w:color w:val="000000"/>
        </w:rPr>
        <w:t>未达到《医疗机构管理条例》及其实施细则、医疗机构基本标准所要求的条件。</w:t>
      </w:r>
    </w:p>
    <w:p w14:paraId="152EE3C8">
      <w:pPr>
        <w:pStyle w:val="2"/>
        <w:keepNext w:val="0"/>
        <w:keepLines w:val="0"/>
        <w:pageBreakBefore w:val="0"/>
        <w:widowControl w:val="0"/>
        <w:kinsoku/>
        <w:wordWrap/>
        <w:overflowPunct/>
        <w:topLinePunct w:val="0"/>
        <w:autoSpaceDE/>
        <w:autoSpaceDN/>
        <w:bidi w:val="0"/>
        <w:adjustRightInd/>
        <w:snapToGrid w:val="0"/>
        <w:spacing w:line="570" w:lineRule="exact"/>
        <w:ind w:right="0" w:rightChars="0" w:firstLine="640" w:firstLineChars="200"/>
        <w:jc w:val="both"/>
        <w:textAlignment w:val="baseline"/>
        <w:rPr>
          <w:rFonts w:hint="eastAsia" w:ascii="方正仿宋_GBK" w:hAnsi="方正仿宋_GBK" w:eastAsia="方正仿宋_GBK" w:cs="方正仿宋_GBK"/>
          <w:color w:val="000000"/>
        </w:rPr>
      </w:pPr>
      <w:r>
        <w:rPr>
          <w:rFonts w:hint="eastAsia" w:ascii="方正仿宋_GBK" w:hAnsi="方正仿宋_GBK" w:eastAsia="方正仿宋_GBK" w:cs="方正仿宋_GBK"/>
          <w:color w:val="000000"/>
          <w:lang w:eastAsia="zh-CN"/>
        </w:rPr>
        <w:t>（</w:t>
      </w:r>
      <w:r>
        <w:rPr>
          <w:rFonts w:hint="eastAsia" w:ascii="方正仿宋_GBK" w:hAnsi="方正仿宋_GBK" w:eastAsia="方正仿宋_GBK" w:cs="方正仿宋_GBK"/>
          <w:color w:val="000000"/>
          <w:lang w:val="en-US" w:eastAsia="zh-CN"/>
        </w:rPr>
        <w:t>二</w:t>
      </w:r>
      <w:r>
        <w:rPr>
          <w:rFonts w:hint="eastAsia" w:ascii="方正仿宋_GBK" w:hAnsi="方正仿宋_GBK" w:eastAsia="方正仿宋_GBK" w:cs="方正仿宋_GBK"/>
          <w:color w:val="000000"/>
          <w:lang w:eastAsia="zh-CN"/>
        </w:rPr>
        <w:t>）</w:t>
      </w:r>
      <w:r>
        <w:rPr>
          <w:rFonts w:hint="eastAsia" w:ascii="方正仿宋_GBK" w:hAnsi="方正仿宋_GBK" w:eastAsia="方正仿宋_GBK" w:cs="方正仿宋_GBK"/>
          <w:color w:val="000000"/>
        </w:rPr>
        <w:t>三级综合医院未按规定设置儿科、感染性疾病科、病理科、老年医学科，以及公共卫生科或者预防保健科等直接从事疾病预防控制工作的科室。</w:t>
      </w:r>
    </w:p>
    <w:p w14:paraId="0B235031">
      <w:pPr>
        <w:pStyle w:val="2"/>
        <w:keepNext w:val="0"/>
        <w:keepLines w:val="0"/>
        <w:pageBreakBefore w:val="0"/>
        <w:widowControl w:val="0"/>
        <w:kinsoku/>
        <w:wordWrap/>
        <w:overflowPunct/>
        <w:topLinePunct w:val="0"/>
        <w:autoSpaceDE/>
        <w:autoSpaceDN/>
        <w:bidi w:val="0"/>
        <w:adjustRightInd/>
        <w:snapToGrid w:val="0"/>
        <w:spacing w:line="570" w:lineRule="exact"/>
        <w:ind w:right="0" w:rightChars="0" w:firstLine="640" w:firstLineChars="200"/>
        <w:jc w:val="both"/>
        <w:textAlignment w:val="baseline"/>
        <w:rPr>
          <w:rFonts w:hint="eastAsia" w:ascii="方正仿宋_GBK" w:hAnsi="方正仿宋_GBK" w:eastAsia="方正仿宋_GBK" w:cs="方正仿宋_GBK"/>
          <w:color w:val="000000"/>
        </w:rPr>
      </w:pPr>
      <w:r>
        <w:rPr>
          <w:rFonts w:hint="eastAsia" w:ascii="方正仿宋_GBK" w:hAnsi="方正仿宋_GBK" w:eastAsia="方正仿宋_GBK" w:cs="方正仿宋_GBK"/>
          <w:color w:val="000000"/>
          <w:lang w:eastAsia="zh-CN"/>
        </w:rPr>
        <w:t>（</w:t>
      </w:r>
      <w:r>
        <w:rPr>
          <w:rFonts w:hint="eastAsia" w:ascii="方正仿宋_GBK" w:hAnsi="方正仿宋_GBK" w:eastAsia="方正仿宋_GBK" w:cs="方正仿宋_GBK"/>
          <w:color w:val="000000"/>
          <w:lang w:val="en-US" w:eastAsia="zh-CN"/>
        </w:rPr>
        <w:t>三</w:t>
      </w:r>
      <w:r>
        <w:rPr>
          <w:rFonts w:hint="eastAsia" w:ascii="方正仿宋_GBK" w:hAnsi="方正仿宋_GBK" w:eastAsia="方正仿宋_GBK" w:cs="方正仿宋_GBK"/>
          <w:color w:val="000000"/>
          <w:lang w:eastAsia="zh-CN"/>
        </w:rPr>
        <w:t>）</w:t>
      </w:r>
      <w:r>
        <w:rPr>
          <w:rFonts w:hint="eastAsia" w:ascii="方正仿宋_GBK" w:hAnsi="方正仿宋_GBK" w:eastAsia="方正仿宋_GBK" w:cs="方正仿宋_GBK"/>
          <w:color w:val="000000"/>
        </w:rPr>
        <w:t>在评审标准发布后，违反医疗机构设置规划和《关于规范公立医院分院区管理的通知》</w:t>
      </w:r>
      <w:r>
        <w:rPr>
          <w:rFonts w:hint="eastAsia" w:ascii="方正仿宋_GBK" w:hAnsi="方正仿宋_GBK" w:eastAsia="方正仿宋_GBK" w:cs="方正仿宋_GBK"/>
          <w:color w:val="000000"/>
          <w:lang w:eastAsia="zh-CN"/>
        </w:rPr>
        <w:t>，</w:t>
      </w:r>
      <w:r>
        <w:rPr>
          <w:rFonts w:hint="eastAsia" w:ascii="方正仿宋_GBK" w:hAnsi="方正仿宋_GBK" w:eastAsia="方正仿宋_GBK" w:cs="方正仿宋_GBK"/>
          <w:color w:val="000000"/>
        </w:rPr>
        <w:t>新增规模导致总床位数、单体院区床位数、分院区数量超标的，不予评审。在评审标准发布前，医院的总床位数、单体院区床位数、分院区数量超标的，应当经省级卫生健康行政部门评估后，视情参加或不予评审。</w:t>
      </w:r>
    </w:p>
    <w:p w14:paraId="0C8B9AC7">
      <w:pPr>
        <w:pStyle w:val="2"/>
        <w:keepNext w:val="0"/>
        <w:keepLines w:val="0"/>
        <w:pageBreakBefore w:val="0"/>
        <w:widowControl w:val="0"/>
        <w:kinsoku/>
        <w:wordWrap/>
        <w:overflowPunct/>
        <w:topLinePunct w:val="0"/>
        <w:autoSpaceDE/>
        <w:autoSpaceDN/>
        <w:bidi w:val="0"/>
        <w:adjustRightInd/>
        <w:snapToGrid w:val="0"/>
        <w:spacing w:line="570" w:lineRule="exact"/>
        <w:ind w:right="0" w:rightChars="0" w:firstLine="640" w:firstLineChars="200"/>
        <w:jc w:val="both"/>
        <w:textAlignment w:val="baseline"/>
        <w:rPr>
          <w:rFonts w:hint="eastAsia" w:ascii="方正仿宋_GBK" w:hAnsi="方正仿宋_GBK" w:eastAsia="方正仿宋_GBK" w:cs="方正仿宋_GBK"/>
          <w:color w:val="000000"/>
          <w:sz w:val="32"/>
          <w:lang w:eastAsia="zh-CN"/>
        </w:rPr>
      </w:pPr>
      <w:r>
        <w:rPr>
          <w:rFonts w:hint="eastAsia" w:ascii="方正仿宋_GBK" w:hAnsi="方正仿宋_GBK" w:eastAsia="方正仿宋_GBK" w:cs="方正仿宋_GBK"/>
          <w:color w:val="000000"/>
          <w:lang w:eastAsia="zh-CN"/>
        </w:rPr>
        <w:t>（</w:t>
      </w:r>
      <w:r>
        <w:rPr>
          <w:rFonts w:hint="eastAsia" w:ascii="方正仿宋_GBK" w:hAnsi="方正仿宋_GBK" w:eastAsia="方正仿宋_GBK" w:cs="方正仿宋_GBK"/>
          <w:color w:val="000000"/>
          <w:lang w:val="en-US" w:eastAsia="zh-CN"/>
        </w:rPr>
        <w:t>四</w:t>
      </w:r>
      <w:r>
        <w:rPr>
          <w:rFonts w:hint="eastAsia" w:ascii="方正仿宋_GBK" w:hAnsi="方正仿宋_GBK" w:eastAsia="方正仿宋_GBK" w:cs="方正仿宋_GBK"/>
          <w:color w:val="000000"/>
          <w:lang w:eastAsia="zh-CN"/>
        </w:rPr>
        <w:t>）</w:t>
      </w:r>
      <w:r>
        <w:rPr>
          <w:rFonts w:hint="eastAsia" w:ascii="方正仿宋_GBK" w:hAnsi="方正仿宋_GBK" w:eastAsia="方正仿宋_GBK" w:cs="方正仿宋_GBK"/>
          <w:color w:val="000000"/>
        </w:rPr>
        <w:t>未落实医疗机构疾病预防控制责任，未在公立医院设立专兼职疾控监督员。</w:t>
      </w:r>
    </w:p>
    <w:p w14:paraId="2C11BAB8">
      <w:pPr>
        <w:pStyle w:val="2"/>
        <w:keepNext w:val="0"/>
        <w:keepLines w:val="0"/>
        <w:pageBreakBefore w:val="0"/>
        <w:widowControl w:val="0"/>
        <w:kinsoku/>
        <w:wordWrap/>
        <w:overflowPunct/>
        <w:topLinePunct w:val="0"/>
        <w:autoSpaceDE/>
        <w:autoSpaceDN/>
        <w:bidi w:val="0"/>
        <w:adjustRightInd/>
        <w:snapToGrid w:val="0"/>
        <w:spacing w:line="570" w:lineRule="exact"/>
        <w:ind w:right="0" w:rightChars="0" w:firstLine="640" w:firstLineChars="200"/>
        <w:jc w:val="both"/>
        <w:textAlignment w:val="baseline"/>
        <w:outlineLvl w:val="1"/>
        <w:rPr>
          <w:rFonts w:hint="eastAsia" w:ascii="方正黑体_GBK" w:hAnsi="方正黑体_GBK" w:eastAsia="方正黑体_GBK" w:cs="方正黑体_GBK"/>
          <w:color w:val="000000"/>
          <w:sz w:val="32"/>
        </w:rPr>
      </w:pPr>
      <w:r>
        <w:rPr>
          <w:rFonts w:hint="eastAsia" w:ascii="方正黑体_GBK" w:hAnsi="方正黑体_GBK" w:eastAsia="方正黑体_GBK" w:cs="方正黑体_GBK"/>
          <w:bCs/>
          <w:color w:val="000000"/>
          <w:sz w:val="32"/>
          <w:szCs w:val="22"/>
          <w:lang w:val="en-US" w:eastAsia="zh-CN"/>
        </w:rPr>
        <w:t>二</w:t>
      </w:r>
      <w:r>
        <w:rPr>
          <w:rFonts w:hint="eastAsia" w:ascii="方正黑体_GBK" w:hAnsi="方正黑体_GBK" w:eastAsia="方正黑体_GBK" w:cs="方正黑体_GBK"/>
          <w:bCs/>
          <w:color w:val="000000"/>
          <w:sz w:val="32"/>
          <w:szCs w:val="22"/>
          <w:lang w:eastAsia="zh-CN"/>
        </w:rPr>
        <w:t>、</w:t>
      </w:r>
      <w:r>
        <w:rPr>
          <w:rFonts w:hint="eastAsia" w:ascii="方正黑体_GBK" w:hAnsi="方正黑体_GBK" w:eastAsia="方正黑体_GBK" w:cs="方正黑体_GBK"/>
          <w:bCs/>
          <w:color w:val="000000"/>
          <w:szCs w:val="22"/>
        </w:rPr>
        <w:t>依法执业和规范服务</w:t>
      </w:r>
    </w:p>
    <w:p w14:paraId="39F8A309">
      <w:pPr>
        <w:pStyle w:val="2"/>
        <w:autoSpaceDE/>
        <w:autoSpaceDN/>
        <w:snapToGrid w:val="0"/>
        <w:spacing w:before="0" w:line="570" w:lineRule="exact"/>
        <w:ind w:right="0" w:rightChars="0" w:firstLine="640" w:firstLineChars="200"/>
        <w:jc w:val="both"/>
        <w:textAlignment w:val="baseline"/>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lang w:val="en-US" w:eastAsia="zh-CN"/>
        </w:rPr>
        <w:t>一</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违反《中华人民共和国基本医疗卫生与健康促进法》《医疗机构管理条例》</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伪造、变造、买卖、出租、出借《医疗机构执业许可证》</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医院命名不符合《医疗机构管理条例实施细则》等有关规定，未按时校验、拒不校验或有暂缓校验记录，诊疗活动超出诊疗科目登记范围；政府举办的医疗卫生机构与其他组织投资设立独立法人资格的医疗卫生机构，与社会资本合作举办营利性医疗卫生机构；医疗卫生机构对外出租、承包医疗科室；公立医院承包、出租药房，向营利性企业托管药房，以任何形式开设营利性药店；非营利性医疗卫生机构向出资人、举办者分配或变相分配收益。</w:t>
      </w:r>
    </w:p>
    <w:p w14:paraId="5D100FD5">
      <w:pPr>
        <w:pStyle w:val="2"/>
        <w:autoSpaceDE/>
        <w:autoSpaceDN/>
        <w:snapToGrid w:val="0"/>
        <w:spacing w:before="0" w:line="570" w:lineRule="exact"/>
        <w:ind w:right="0" w:rightChars="0" w:firstLine="640" w:firstLineChars="200"/>
        <w:jc w:val="both"/>
        <w:textAlignment w:val="baseline"/>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lang w:val="en-US" w:eastAsia="zh-CN"/>
        </w:rPr>
        <w:t>二</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违反《中华人民共和国医师法》《医疗机构管理条例》《护 士条例》</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使用非卫生技术人员从事医疗卫生技术工作。</w:t>
      </w:r>
    </w:p>
    <w:p w14:paraId="081FE5FF">
      <w:pPr>
        <w:pStyle w:val="2"/>
        <w:autoSpaceDE/>
        <w:autoSpaceDN/>
        <w:snapToGrid w:val="0"/>
        <w:spacing w:before="0" w:line="570" w:lineRule="exact"/>
        <w:ind w:right="0" w:rightChars="0" w:firstLine="640" w:firstLineChars="200"/>
        <w:jc w:val="both"/>
        <w:textAlignment w:val="baseline"/>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lang w:val="en-US" w:eastAsia="zh-CN"/>
        </w:rPr>
        <w:t>三</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违反《中华人民共和国药品管理法》《医疗器械监督管理条例》</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违法违规采购或使用药品、设备、器械、耗材开展诊疗活动，造成严重后果；未经许可配置使用需要准入审批的大型医用设备。</w:t>
      </w:r>
    </w:p>
    <w:p w14:paraId="33FC9B31">
      <w:pPr>
        <w:pStyle w:val="2"/>
        <w:autoSpaceDE/>
        <w:autoSpaceDN/>
        <w:snapToGrid w:val="0"/>
        <w:spacing w:before="0" w:line="570" w:lineRule="exact"/>
        <w:ind w:right="0" w:rightChars="0" w:firstLine="640" w:firstLineChars="200"/>
        <w:jc w:val="both"/>
        <w:textAlignment w:val="baseline"/>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lang w:val="en-US" w:eastAsia="zh-CN"/>
        </w:rPr>
        <w:t>四</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违反《中华人民共和国母婴保健法》</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未取得母婴保健技术服务执业许可证开展相关母婴保健技术。</w:t>
      </w:r>
    </w:p>
    <w:p w14:paraId="7B66BC59">
      <w:pPr>
        <w:pStyle w:val="2"/>
        <w:autoSpaceDE/>
        <w:autoSpaceDN/>
        <w:snapToGrid w:val="0"/>
        <w:spacing w:before="0" w:line="570" w:lineRule="exact"/>
        <w:ind w:right="0" w:rightChars="0" w:firstLine="640" w:firstLineChars="200"/>
        <w:jc w:val="both"/>
        <w:textAlignment w:val="baseline"/>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lang w:val="en-US" w:eastAsia="zh-CN"/>
        </w:rPr>
        <w:t>五</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违反《人体器官捐献和移植条例》</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买卖人体器官或者从事与买卖人体器官有关的活动，未经许可开展人体器官获取与移</w:t>
      </w:r>
      <w:r>
        <w:rPr>
          <w:rFonts w:hint="eastAsia" w:ascii="方正仿宋_GBK" w:hAnsi="方正仿宋_GBK" w:eastAsia="方正仿宋_GBK" w:cs="方正仿宋_GBK"/>
          <w:b w:val="0"/>
          <w:bCs w:val="0"/>
          <w:color w:val="000000"/>
          <w:spacing w:val="0"/>
          <w:sz w:val="32"/>
          <w:szCs w:val="32"/>
        </w:rPr>
        <w:t>植技术。</w:t>
      </w:r>
    </w:p>
    <w:p w14:paraId="0446119B">
      <w:pPr>
        <w:pStyle w:val="2"/>
        <w:autoSpaceDE/>
        <w:autoSpaceDN/>
        <w:snapToGrid w:val="0"/>
        <w:spacing w:before="0" w:line="570" w:lineRule="exact"/>
        <w:ind w:right="0" w:rightChars="0" w:firstLine="640" w:firstLineChars="200"/>
        <w:jc w:val="both"/>
        <w:textAlignment w:val="baseline"/>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lang w:val="en-US" w:eastAsia="zh-CN"/>
        </w:rPr>
        <w:t>六</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违反《中华人民共和国献血法》</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非法采集血液，非法组织他人出卖血液，出售无偿献血的血液。</w:t>
      </w:r>
    </w:p>
    <w:p w14:paraId="477BE1B8">
      <w:pPr>
        <w:pStyle w:val="2"/>
        <w:autoSpaceDE/>
        <w:autoSpaceDN/>
        <w:snapToGrid w:val="0"/>
        <w:spacing w:before="0" w:line="570" w:lineRule="exact"/>
        <w:ind w:right="0" w:rightChars="0" w:firstLine="640" w:firstLineChars="200"/>
        <w:jc w:val="both"/>
        <w:textAlignment w:val="baseline"/>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lang w:val="en-US" w:eastAsia="zh-CN"/>
        </w:rPr>
        <w:t>七</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违反《中华人民共和国传染病防治法》《中华人民共和国生物安全法》《中华人民共和国食品安全法》《突发公共卫生事件应急条例》</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造成传染病传播、流行或其他严重后果；或其他重大违法违规事件，造成严重后果或情节严重；设立病原微生物实验室未依法取得批准或者进行备案；卫生健康行政部门或监督执法机构近两年来对其进行传染病防治分类监督综合评价为重点监督单位(以两年来最近一次评价结果为准)</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未依法履行传染病、食源性疾病报告等法定职责，造成严重后果。</w:t>
      </w:r>
    </w:p>
    <w:p w14:paraId="6E473F59">
      <w:pPr>
        <w:pStyle w:val="2"/>
        <w:autoSpaceDE/>
        <w:autoSpaceDN/>
        <w:snapToGrid w:val="0"/>
        <w:spacing w:line="570" w:lineRule="exact"/>
        <w:ind w:right="0" w:rightChars="0" w:firstLine="640" w:firstLineChars="200"/>
        <w:jc w:val="both"/>
        <w:textAlignment w:val="baseline"/>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lang w:val="en-US" w:eastAsia="zh-CN"/>
        </w:rPr>
        <w:t>八</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违反《医疗纠纷预防和处理条例》《医疗事故处理条例》</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 xml:space="preserve"> 篡改、伪造、隐匿、毁灭病历资料，造成严重后果。</w:t>
      </w:r>
    </w:p>
    <w:p w14:paraId="06CBA22E">
      <w:pPr>
        <w:pStyle w:val="2"/>
        <w:autoSpaceDE/>
        <w:autoSpaceDN/>
        <w:snapToGrid w:val="0"/>
        <w:spacing w:before="0" w:line="570" w:lineRule="exact"/>
        <w:ind w:right="0" w:rightChars="0" w:firstLine="640" w:firstLineChars="200"/>
        <w:jc w:val="both"/>
        <w:textAlignment w:val="baseline"/>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lang w:val="en-US" w:eastAsia="zh-CN"/>
        </w:rPr>
        <w:t>九</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违反《医疗技术临床应用管理办法》</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将未通过技术评估与伦理审查的医疗新技术、禁止类医疗技术应用于临床，造成严重后果 。</w:t>
      </w:r>
    </w:p>
    <w:p w14:paraId="09CF9B13">
      <w:pPr>
        <w:pStyle w:val="2"/>
        <w:autoSpaceDE/>
        <w:autoSpaceDN/>
        <w:snapToGrid w:val="0"/>
        <w:spacing w:before="0" w:line="570" w:lineRule="exact"/>
        <w:ind w:right="0" w:rightChars="0" w:firstLine="640" w:firstLineChars="200"/>
        <w:jc w:val="both"/>
        <w:textAlignment w:val="baseline"/>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lang w:val="en-US" w:eastAsia="zh-CN"/>
        </w:rPr>
        <w:t>十</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违反《麻醉药品和精神药品管理条例》《易制毒化学品管理条例》《处方管理办法》</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违规购买、储存、调剂、开具、登记、销毁麻醉药品和第一类精神药品，使用未取得处方权的人员或被取消</w:t>
      </w:r>
      <w:r>
        <w:rPr>
          <w:rFonts w:hint="eastAsia" w:ascii="方正仿宋_GBK" w:hAnsi="方正仿宋_GBK" w:eastAsia="方正仿宋_GBK" w:cs="方正仿宋_GBK"/>
          <w:color w:val="000000"/>
          <w:sz w:val="32"/>
          <w:szCs w:val="32"/>
        </w:rPr>
        <w:t xml:space="preserve"> </w:t>
      </w:r>
      <w:r>
        <w:rPr>
          <w:rFonts w:hint="eastAsia" w:ascii="方正仿宋_GBK" w:hAnsi="方正仿宋_GBK" w:eastAsia="方正仿宋_GBK" w:cs="方正仿宋_GBK"/>
          <w:color w:val="000000"/>
          <w:spacing w:val="0"/>
          <w:sz w:val="32"/>
          <w:szCs w:val="32"/>
        </w:rPr>
        <w:t>处方权的医师开具处方，造成严重后果。</w:t>
      </w:r>
    </w:p>
    <w:p w14:paraId="1584CAEE">
      <w:pPr>
        <w:pStyle w:val="2"/>
        <w:autoSpaceDE/>
        <w:autoSpaceDN/>
        <w:snapToGrid w:val="0"/>
        <w:spacing w:before="0" w:line="570" w:lineRule="exact"/>
        <w:ind w:right="0" w:rightChars="0" w:firstLine="640" w:firstLineChars="200"/>
        <w:jc w:val="both"/>
        <w:textAlignment w:val="baseline"/>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lang w:val="en-US" w:eastAsia="zh-CN"/>
        </w:rPr>
        <w:t>十一</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违反《放射诊疗管理规定》</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未取得放射诊疗许可从事放射诊疗工作或未履行其他法定职责，造成严重后果。</w:t>
      </w:r>
    </w:p>
    <w:p w14:paraId="51F46194">
      <w:pPr>
        <w:pStyle w:val="2"/>
        <w:autoSpaceDE/>
        <w:autoSpaceDN/>
        <w:snapToGrid w:val="0"/>
        <w:spacing w:before="0" w:line="570" w:lineRule="exact"/>
        <w:ind w:right="0" w:rightChars="0" w:firstLine="640" w:firstLineChars="200"/>
        <w:jc w:val="both"/>
        <w:textAlignment w:val="baseline"/>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lang w:val="en-US" w:eastAsia="zh-CN"/>
        </w:rPr>
        <w:t>十二</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违反《中华人民共和国职业病防治法》</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未依法开展职业健康检查或职业病诊断、未依法履行职业病与疑似职业病报告等法定职责，造成严重后果。</w:t>
      </w:r>
    </w:p>
    <w:p w14:paraId="64EA1268">
      <w:pPr>
        <w:pStyle w:val="2"/>
        <w:autoSpaceDE/>
        <w:autoSpaceDN/>
        <w:snapToGrid w:val="0"/>
        <w:spacing w:before="0" w:line="570" w:lineRule="exact"/>
        <w:ind w:right="0" w:rightChars="0" w:firstLine="640" w:firstLineChars="200"/>
        <w:jc w:val="both"/>
        <w:textAlignment w:val="baseline"/>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lang w:val="en-US" w:eastAsia="zh-CN"/>
        </w:rPr>
        <w:t>十三</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违反《中华人民共和国广告法》《医疗广告管理办法》</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违规发布医疗广告，情节严重。</w:t>
      </w:r>
    </w:p>
    <w:p w14:paraId="601EC0A7">
      <w:pPr>
        <w:pStyle w:val="2"/>
        <w:keepNext w:val="0"/>
        <w:keepLines w:val="0"/>
        <w:pageBreakBefore w:val="0"/>
        <w:widowControl w:val="0"/>
        <w:kinsoku/>
        <w:wordWrap/>
        <w:overflowPunct/>
        <w:topLinePunct w:val="0"/>
        <w:autoSpaceDE/>
        <w:autoSpaceDN/>
        <w:bidi w:val="0"/>
        <w:adjustRightInd/>
        <w:snapToGrid w:val="0"/>
        <w:spacing w:line="570" w:lineRule="exact"/>
        <w:ind w:right="0" w:rightChars="0" w:firstLine="640" w:firstLineChars="200"/>
        <w:jc w:val="both"/>
        <w:textAlignment w:val="baseline"/>
        <w:rPr>
          <w:rFonts w:hint="eastAsia" w:ascii="方正仿宋_GBK" w:hAnsi="方正仿宋_GBK" w:eastAsia="方正仿宋_GBK" w:cs="方正仿宋_GBK"/>
          <w:color w:val="000000"/>
          <w:sz w:val="32"/>
        </w:rPr>
      </w:pP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lang w:val="en-US" w:eastAsia="zh-CN"/>
        </w:rPr>
        <w:t>十四</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其他从事非法代孕、出具虚假出生医学证明、违规收受红包回扣</w:t>
      </w:r>
      <w:r>
        <w:rPr>
          <w:rFonts w:hint="eastAsia" w:ascii="方正仿宋_GBK" w:hAnsi="方正仿宋_GBK" w:eastAsia="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泄露患者隐私等违法违规事件，造成严重后果或情节严重</w:t>
      </w:r>
      <w:r>
        <w:rPr>
          <w:rFonts w:hint="eastAsia" w:ascii="方正仿宋_GBK" w:hAnsi="方正仿宋_GBK" w:eastAsia="方正仿宋_GBK" w:cs="方正仿宋_GBK"/>
          <w:color w:val="000000"/>
          <w:spacing w:val="0"/>
          <w:sz w:val="32"/>
          <w:szCs w:val="32"/>
          <w:lang w:eastAsia="zh-CN"/>
        </w:rPr>
        <w:t>。</w:t>
      </w:r>
    </w:p>
    <w:p w14:paraId="6FDB037B">
      <w:pPr>
        <w:keepNext w:val="0"/>
        <w:keepLines w:val="0"/>
        <w:pageBreakBefore w:val="0"/>
        <w:widowControl w:val="0"/>
        <w:kinsoku/>
        <w:wordWrap/>
        <w:overflowPunct/>
        <w:topLinePunct w:val="0"/>
        <w:autoSpaceDE/>
        <w:autoSpaceDN/>
        <w:bidi w:val="0"/>
        <w:adjustRightInd/>
        <w:snapToGrid w:val="0"/>
        <w:spacing w:line="570" w:lineRule="exact"/>
        <w:ind w:left="0" w:leftChars="0" w:right="0" w:rightChars="0" w:firstLine="640" w:firstLineChars="200"/>
        <w:jc w:val="both"/>
        <w:textAlignment w:val="baseline"/>
        <w:outlineLvl w:val="1"/>
        <w:rPr>
          <w:rFonts w:hint="eastAsia" w:ascii="方正黑体_GBK" w:hAnsi="方正黑体_GBK" w:eastAsia="方正黑体_GBK" w:cs="方正黑体_GBK"/>
          <w:bCs/>
          <w:color w:val="000000"/>
          <w:sz w:val="32"/>
        </w:rPr>
      </w:pPr>
      <w:r>
        <w:rPr>
          <w:rFonts w:hint="eastAsia" w:ascii="方正黑体_GBK" w:hAnsi="方正黑体_GBK" w:eastAsia="方正黑体_GBK" w:cs="方正黑体_GBK"/>
          <w:bCs/>
          <w:color w:val="000000"/>
          <w:sz w:val="32"/>
          <w:lang w:val="en-US" w:eastAsia="zh-CN"/>
        </w:rPr>
        <w:t>三</w:t>
      </w:r>
      <w:r>
        <w:rPr>
          <w:rFonts w:hint="eastAsia" w:ascii="方正黑体_GBK" w:hAnsi="方正黑体_GBK" w:eastAsia="方正黑体_GBK" w:cs="方正黑体_GBK"/>
          <w:bCs/>
          <w:color w:val="000000"/>
          <w:sz w:val="32"/>
        </w:rPr>
        <w:t>、公益性责任和行风诚信</w:t>
      </w:r>
    </w:p>
    <w:p w14:paraId="2100E619">
      <w:pPr>
        <w:pStyle w:val="2"/>
        <w:keepNext w:val="0"/>
        <w:keepLines w:val="0"/>
        <w:pageBreakBefore w:val="0"/>
        <w:widowControl w:val="0"/>
        <w:kinsoku/>
        <w:wordWrap/>
        <w:overflowPunct/>
        <w:topLinePunct w:val="0"/>
        <w:autoSpaceDE/>
        <w:autoSpaceDN/>
        <w:bidi w:val="0"/>
        <w:adjustRightInd/>
        <w:snapToGrid w:val="0"/>
        <w:spacing w:line="570" w:lineRule="exact"/>
        <w:ind w:right="0" w:rightChars="0" w:firstLine="640" w:firstLineChars="200"/>
        <w:jc w:val="both"/>
        <w:textAlignment w:val="baseline"/>
        <w:rPr>
          <w:rFonts w:hint="eastAsia" w:ascii="方正仿宋_GBK" w:hAnsi="方正仿宋_GBK" w:eastAsia="方正仿宋_GBK" w:cs="方正仿宋_GBK"/>
          <w:color w:val="000000"/>
          <w:sz w:val="32"/>
        </w:rPr>
      </w:pPr>
      <w:r>
        <w:rPr>
          <w:rFonts w:hint="eastAsia" w:ascii="方正仿宋_GBK" w:hAnsi="方正仿宋_GBK" w:eastAsia="方正仿宋_GBK" w:cs="方正仿宋_GBK"/>
          <w:color w:val="000000"/>
          <w:sz w:val="32"/>
        </w:rPr>
        <w:t xml:space="preserve">（一）应当完成而未完成对口支援、中国援外医疗队、突发公共事件医疗救援、公共卫生任务等政府指令性工作。 </w:t>
      </w:r>
    </w:p>
    <w:p w14:paraId="5365381F">
      <w:pPr>
        <w:pStyle w:val="2"/>
        <w:keepNext w:val="0"/>
        <w:keepLines w:val="0"/>
        <w:pageBreakBefore w:val="0"/>
        <w:widowControl w:val="0"/>
        <w:kinsoku/>
        <w:wordWrap/>
        <w:overflowPunct/>
        <w:topLinePunct w:val="0"/>
        <w:autoSpaceDE/>
        <w:autoSpaceDN/>
        <w:bidi w:val="0"/>
        <w:adjustRightInd/>
        <w:snapToGrid w:val="0"/>
        <w:spacing w:line="570" w:lineRule="exact"/>
        <w:ind w:right="0" w:rightChars="0" w:firstLine="640" w:firstLineChars="200"/>
        <w:jc w:val="both"/>
        <w:textAlignment w:val="baseline"/>
        <w:rPr>
          <w:rFonts w:hint="eastAsia" w:ascii="方正仿宋_GBK" w:hAnsi="方正仿宋_GBK" w:eastAsia="方正仿宋_GBK" w:cs="方正仿宋_GBK"/>
          <w:color w:val="000000"/>
          <w:sz w:val="32"/>
        </w:rPr>
      </w:pPr>
      <w:r>
        <w:rPr>
          <w:rFonts w:hint="eastAsia" w:ascii="方正仿宋_GBK" w:hAnsi="方正仿宋_GBK" w:eastAsia="方正仿宋_GBK" w:cs="方正仿宋_GBK"/>
          <w:color w:val="000000"/>
          <w:sz w:val="32"/>
        </w:rPr>
        <w:t xml:space="preserve">（二）应当执行而未执行国家基本药物制度和分级诊疗政策。 </w:t>
      </w:r>
    </w:p>
    <w:p w14:paraId="6FB9CD5C">
      <w:pPr>
        <w:pStyle w:val="2"/>
        <w:keepNext w:val="0"/>
        <w:keepLines w:val="0"/>
        <w:pageBreakBefore w:val="0"/>
        <w:widowControl w:val="0"/>
        <w:kinsoku/>
        <w:wordWrap/>
        <w:overflowPunct/>
        <w:topLinePunct w:val="0"/>
        <w:autoSpaceDE/>
        <w:autoSpaceDN/>
        <w:bidi w:val="0"/>
        <w:adjustRightInd/>
        <w:snapToGrid w:val="0"/>
        <w:spacing w:line="570" w:lineRule="exact"/>
        <w:ind w:right="0" w:rightChars="0" w:firstLine="640" w:firstLineChars="200"/>
        <w:jc w:val="both"/>
        <w:textAlignment w:val="baseline"/>
        <w:rPr>
          <w:rFonts w:hint="eastAsia" w:ascii="方正仿宋_GBK" w:hAnsi="方正仿宋_GBK" w:eastAsia="方正仿宋_GBK" w:cs="方正仿宋_GBK"/>
          <w:color w:val="000000"/>
          <w:sz w:val="32"/>
        </w:rPr>
      </w:pPr>
      <w:r>
        <w:rPr>
          <w:rFonts w:hint="eastAsia" w:ascii="方正仿宋_GBK" w:hAnsi="方正仿宋_GBK" w:eastAsia="方正仿宋_GBK" w:cs="方正仿宋_GBK"/>
          <w:color w:val="000000"/>
          <w:sz w:val="32"/>
        </w:rPr>
        <w:t>（三）</w:t>
      </w:r>
      <w:r>
        <w:rPr>
          <w:rFonts w:hint="eastAsia" w:ascii="方正仿宋_GBK" w:hAnsi="方正仿宋_GBK" w:eastAsia="方正仿宋_GBK" w:cs="方正仿宋_GBK"/>
          <w:color w:val="000000"/>
        </w:rPr>
        <w:t>医院领导班子发生1起以上严重职务犯罪或严重违纪事件，或医务人员发生3起以上违反《医疗机构工作人员廉洁从业九项准则》的群体性事件(≥3人/起)</w:t>
      </w:r>
      <w:r>
        <w:rPr>
          <w:rFonts w:hint="eastAsia" w:ascii="方正仿宋_GBK" w:hAnsi="方正仿宋_GBK" w:eastAsia="方正仿宋_GBK" w:cs="方正仿宋_GBK"/>
          <w:color w:val="000000"/>
          <w:lang w:eastAsia="zh-CN"/>
        </w:rPr>
        <w:t>，</w:t>
      </w:r>
      <w:r>
        <w:rPr>
          <w:rFonts w:hint="eastAsia" w:ascii="方正仿宋_GBK" w:hAnsi="方正仿宋_GBK" w:eastAsia="方正仿宋_GBK" w:cs="方正仿宋_GBK"/>
          <w:color w:val="000000"/>
        </w:rPr>
        <w:t>造成重大社会影响。</w:t>
      </w:r>
    </w:p>
    <w:p w14:paraId="5F834606">
      <w:pPr>
        <w:pStyle w:val="2"/>
        <w:keepNext w:val="0"/>
        <w:keepLines w:val="0"/>
        <w:pageBreakBefore w:val="0"/>
        <w:widowControl w:val="0"/>
        <w:kinsoku/>
        <w:wordWrap/>
        <w:overflowPunct/>
        <w:topLinePunct w:val="0"/>
        <w:autoSpaceDE/>
        <w:autoSpaceDN/>
        <w:bidi w:val="0"/>
        <w:adjustRightInd/>
        <w:snapToGrid w:val="0"/>
        <w:spacing w:line="570" w:lineRule="exact"/>
        <w:ind w:right="0" w:rightChars="0" w:firstLine="640" w:firstLineChars="200"/>
        <w:jc w:val="both"/>
        <w:textAlignment w:val="baseline"/>
        <w:rPr>
          <w:rFonts w:hint="eastAsia" w:ascii="方正仿宋_GBK" w:hAnsi="方正仿宋_GBK" w:eastAsia="方正仿宋_GBK" w:cs="方正仿宋_GBK"/>
          <w:color w:val="000000"/>
          <w:sz w:val="32"/>
        </w:rPr>
      </w:pPr>
      <w:r>
        <w:rPr>
          <w:rFonts w:hint="eastAsia" w:ascii="方正仿宋_GBK" w:hAnsi="方正仿宋_GBK" w:eastAsia="方正仿宋_GBK" w:cs="方正仿宋_GBK"/>
          <w:color w:val="000000"/>
          <w:sz w:val="32"/>
        </w:rPr>
        <w:t>（四）</w:t>
      </w:r>
      <w:r>
        <w:rPr>
          <w:rFonts w:hint="eastAsia" w:ascii="方正仿宋_GBK" w:hAnsi="方正仿宋_GBK" w:eastAsia="方正仿宋_GBK" w:cs="方正仿宋_GBK"/>
          <w:color w:val="000000"/>
        </w:rPr>
        <w:t>未按照《中华人民共和国预算法》等法律法规相关要求加强医院财务和收支管理，出现经济运行风险并造成严重后果；发生重大价格或收费违法事件，以及恶意骗取医保基金。</w:t>
      </w:r>
    </w:p>
    <w:p w14:paraId="30199F2E">
      <w:pPr>
        <w:pStyle w:val="2"/>
        <w:keepNext w:val="0"/>
        <w:keepLines w:val="0"/>
        <w:pageBreakBefore w:val="0"/>
        <w:widowControl w:val="0"/>
        <w:kinsoku/>
        <w:wordWrap/>
        <w:overflowPunct/>
        <w:topLinePunct w:val="0"/>
        <w:autoSpaceDE/>
        <w:autoSpaceDN/>
        <w:bidi w:val="0"/>
        <w:adjustRightInd/>
        <w:snapToGrid w:val="0"/>
        <w:spacing w:line="570" w:lineRule="exact"/>
        <w:ind w:right="0" w:rightChars="0" w:firstLine="640" w:firstLineChars="200"/>
        <w:jc w:val="both"/>
        <w:textAlignment w:val="baseline"/>
        <w:rPr>
          <w:rFonts w:hint="eastAsia" w:ascii="方正仿宋_GBK" w:hAnsi="方正仿宋_GBK" w:eastAsia="方正仿宋_GBK" w:cs="方正仿宋_GBK"/>
          <w:color w:val="000000"/>
          <w:sz w:val="32"/>
        </w:rPr>
      </w:pPr>
      <w:r>
        <w:rPr>
          <w:rFonts w:hint="eastAsia" w:ascii="方正仿宋_GBK" w:hAnsi="方正仿宋_GBK" w:eastAsia="方正仿宋_GBK" w:cs="方正仿宋_GBK"/>
          <w:color w:val="000000"/>
          <w:sz w:val="32"/>
        </w:rPr>
        <w:t>（五）违反《中华人民共和国统计法》《医疗质量管理办法》《医学科研诚信和相关行为规范》相关要求，提供、报告虚假住院病案首页等医疗服务信息、统计数据、申报材料和科研成果，情节严重。</w:t>
      </w:r>
    </w:p>
    <w:p w14:paraId="4BF0EE18">
      <w:pPr>
        <w:keepNext w:val="0"/>
        <w:keepLines w:val="0"/>
        <w:pageBreakBefore w:val="0"/>
        <w:widowControl w:val="0"/>
        <w:kinsoku/>
        <w:wordWrap/>
        <w:overflowPunct/>
        <w:topLinePunct w:val="0"/>
        <w:autoSpaceDE/>
        <w:autoSpaceDN/>
        <w:bidi w:val="0"/>
        <w:adjustRightInd/>
        <w:snapToGrid w:val="0"/>
        <w:spacing w:line="570" w:lineRule="exact"/>
        <w:ind w:left="0" w:leftChars="0" w:right="0" w:rightChars="0" w:firstLine="640" w:firstLineChars="200"/>
        <w:jc w:val="both"/>
        <w:textAlignment w:val="baseline"/>
        <w:outlineLvl w:val="1"/>
        <w:rPr>
          <w:rFonts w:hint="eastAsia" w:ascii="方正黑体_GBK" w:hAnsi="方正黑体_GBK" w:eastAsia="方正黑体_GBK" w:cs="方正黑体_GBK"/>
          <w:bCs/>
          <w:color w:val="000000"/>
          <w:sz w:val="32"/>
        </w:rPr>
      </w:pPr>
      <w:r>
        <w:rPr>
          <w:rFonts w:hint="eastAsia" w:ascii="方正黑体_GBK" w:hAnsi="方正黑体_GBK" w:eastAsia="方正黑体_GBK" w:cs="方正黑体_GBK"/>
          <w:bCs/>
          <w:color w:val="000000"/>
          <w:sz w:val="32"/>
          <w:lang w:val="en-US" w:eastAsia="zh-CN"/>
        </w:rPr>
        <w:t>四</w:t>
      </w:r>
      <w:r>
        <w:rPr>
          <w:rFonts w:hint="eastAsia" w:ascii="方正黑体_GBK" w:hAnsi="方正黑体_GBK" w:eastAsia="方正黑体_GBK" w:cs="方正黑体_GBK"/>
          <w:bCs/>
          <w:color w:val="000000"/>
          <w:sz w:val="32"/>
        </w:rPr>
        <w:t>、安全管理与重大事件</w:t>
      </w:r>
    </w:p>
    <w:p w14:paraId="379864B4">
      <w:pPr>
        <w:pStyle w:val="2"/>
        <w:keepNext w:val="0"/>
        <w:keepLines w:val="0"/>
        <w:pageBreakBefore w:val="0"/>
        <w:widowControl w:val="0"/>
        <w:kinsoku/>
        <w:wordWrap/>
        <w:overflowPunct/>
        <w:topLinePunct w:val="0"/>
        <w:autoSpaceDE/>
        <w:autoSpaceDN/>
        <w:bidi w:val="0"/>
        <w:adjustRightInd/>
        <w:snapToGrid w:val="0"/>
        <w:spacing w:line="570" w:lineRule="exact"/>
        <w:ind w:right="0" w:rightChars="0" w:firstLine="640" w:firstLineChars="200"/>
        <w:jc w:val="both"/>
        <w:textAlignment w:val="baseline"/>
        <w:rPr>
          <w:rFonts w:hint="eastAsia" w:ascii="方正仿宋_GBK" w:hAnsi="方正仿宋_GBK" w:eastAsia="方正仿宋_GBK" w:cs="方正仿宋_GBK"/>
          <w:color w:val="000000"/>
          <w:sz w:val="32"/>
        </w:rPr>
      </w:pPr>
      <w:r>
        <w:rPr>
          <w:rFonts w:hint="eastAsia" w:ascii="方正仿宋_GBK" w:hAnsi="方正仿宋_GBK" w:eastAsia="方正仿宋_GBK" w:cs="方正仿宋_GBK"/>
          <w:color w:val="000000"/>
          <w:sz w:val="32"/>
        </w:rPr>
        <w:t>（一）发生定性为完全责任的一级医疗事故或直接被卫生健康行政部门判定的重大医疗事故。</w:t>
      </w:r>
    </w:p>
    <w:p w14:paraId="7DF85F3D">
      <w:pPr>
        <w:pStyle w:val="2"/>
        <w:keepNext w:val="0"/>
        <w:keepLines w:val="0"/>
        <w:pageBreakBefore w:val="0"/>
        <w:widowControl w:val="0"/>
        <w:kinsoku/>
        <w:wordWrap/>
        <w:overflowPunct/>
        <w:topLinePunct w:val="0"/>
        <w:autoSpaceDE/>
        <w:autoSpaceDN/>
        <w:bidi w:val="0"/>
        <w:adjustRightInd/>
        <w:snapToGrid w:val="0"/>
        <w:spacing w:line="570" w:lineRule="exact"/>
        <w:ind w:right="0" w:rightChars="0" w:firstLine="640" w:firstLineChars="200"/>
        <w:jc w:val="both"/>
        <w:textAlignment w:val="baseline"/>
        <w:rPr>
          <w:rFonts w:hint="eastAsia" w:ascii="方正仿宋_GBK" w:hAnsi="方正仿宋_GBK" w:eastAsia="方正仿宋_GBK" w:cs="方正仿宋_GBK"/>
          <w:color w:val="000000"/>
          <w:sz w:val="32"/>
        </w:rPr>
      </w:pPr>
      <w:r>
        <w:rPr>
          <w:rFonts w:hint="eastAsia" w:ascii="方正仿宋_GBK" w:hAnsi="方正仿宋_GBK" w:eastAsia="方正仿宋_GBK" w:cs="方正仿宋_GBK"/>
          <w:color w:val="000000"/>
          <w:sz w:val="32"/>
        </w:rPr>
        <w:t>（二）</w:t>
      </w:r>
      <w:r>
        <w:rPr>
          <w:rFonts w:hint="eastAsia" w:ascii="方正仿宋_GBK" w:hAnsi="方正仿宋_GBK" w:eastAsia="方正仿宋_GBK" w:cs="方正仿宋_GBK"/>
          <w:color w:val="000000"/>
        </w:rPr>
        <w:t>发生重大医院感染事件或者实验室生物安全事件，造成严重后果。</w:t>
      </w:r>
    </w:p>
    <w:p w14:paraId="2F2956A9">
      <w:pPr>
        <w:pStyle w:val="2"/>
        <w:keepNext w:val="0"/>
        <w:keepLines w:val="0"/>
        <w:pageBreakBefore w:val="0"/>
        <w:widowControl w:val="0"/>
        <w:kinsoku/>
        <w:wordWrap/>
        <w:overflowPunct/>
        <w:topLinePunct w:val="0"/>
        <w:autoSpaceDE/>
        <w:autoSpaceDN/>
        <w:bidi w:val="0"/>
        <w:adjustRightInd/>
        <w:snapToGrid w:val="0"/>
        <w:spacing w:line="570" w:lineRule="exact"/>
        <w:ind w:right="0" w:rightChars="0" w:firstLine="640" w:firstLineChars="200"/>
        <w:jc w:val="both"/>
        <w:textAlignment w:val="baseline"/>
        <w:rPr>
          <w:rFonts w:hint="eastAsia" w:ascii="方正仿宋_GBK" w:hAnsi="方正仿宋_GBK" w:eastAsia="方正仿宋_GBK" w:cs="方正仿宋_GBK"/>
          <w:color w:val="000000"/>
          <w:sz w:val="32"/>
        </w:rPr>
      </w:pPr>
      <w:r>
        <w:rPr>
          <w:rFonts w:hint="eastAsia" w:ascii="方正仿宋_GBK" w:hAnsi="方正仿宋_GBK" w:eastAsia="方正仿宋_GBK" w:cs="方正仿宋_GBK"/>
          <w:color w:val="000000"/>
          <w:sz w:val="32"/>
        </w:rPr>
        <w:t>（三）发生因重大火灾、放射源泄漏、有害气体泄漏等被通报或处罚的重大安全事故。</w:t>
      </w:r>
    </w:p>
    <w:p w14:paraId="1AD6D216">
      <w:pPr>
        <w:pStyle w:val="2"/>
        <w:keepNext w:val="0"/>
        <w:keepLines w:val="0"/>
        <w:pageBreakBefore w:val="0"/>
        <w:widowControl w:val="0"/>
        <w:kinsoku/>
        <w:wordWrap/>
        <w:overflowPunct/>
        <w:topLinePunct w:val="0"/>
        <w:autoSpaceDE/>
        <w:autoSpaceDN/>
        <w:bidi w:val="0"/>
        <w:adjustRightInd/>
        <w:snapToGrid w:val="0"/>
        <w:spacing w:line="570" w:lineRule="exact"/>
        <w:ind w:right="0" w:rightChars="0" w:firstLine="640" w:firstLineChars="200"/>
        <w:jc w:val="both"/>
        <w:textAlignment w:val="baseline"/>
        <w:rPr>
          <w:rFonts w:hint="eastAsia" w:ascii="方正仿宋_GBK" w:hAnsi="方正仿宋_GBK" w:eastAsia="方正仿宋_GBK" w:cs="方正仿宋_GBK"/>
          <w:color w:val="000000"/>
          <w:sz w:val="32"/>
        </w:rPr>
      </w:pPr>
      <w:r>
        <w:rPr>
          <w:rFonts w:hint="eastAsia" w:ascii="方正仿宋_GBK" w:hAnsi="方正仿宋_GBK" w:eastAsia="方正仿宋_GBK" w:cs="方正仿宋_GBK"/>
          <w:color w:val="000000"/>
          <w:sz w:val="32"/>
        </w:rPr>
        <w:t>（四）发生瞒报、漏报重大医疗过失事件的行为。</w:t>
      </w:r>
    </w:p>
    <w:p w14:paraId="19237DA0">
      <w:pPr>
        <w:pStyle w:val="2"/>
        <w:keepNext w:val="0"/>
        <w:keepLines w:val="0"/>
        <w:pageBreakBefore w:val="0"/>
        <w:widowControl w:val="0"/>
        <w:kinsoku/>
        <w:wordWrap/>
        <w:overflowPunct/>
        <w:topLinePunct w:val="0"/>
        <w:autoSpaceDE/>
        <w:autoSpaceDN/>
        <w:bidi w:val="0"/>
        <w:adjustRightInd/>
        <w:snapToGrid w:val="0"/>
        <w:spacing w:line="570" w:lineRule="exact"/>
        <w:ind w:right="0" w:rightChars="0" w:firstLine="640" w:firstLineChars="200"/>
        <w:jc w:val="both"/>
        <w:textAlignment w:val="baseline"/>
        <w:rPr>
          <w:rFonts w:hint="eastAsia" w:ascii="方正仿宋_GBK" w:hAnsi="方正仿宋_GBK" w:eastAsia="方正仿宋_GBK" w:cs="方正仿宋_GBK"/>
          <w:color w:val="000000"/>
          <w:sz w:val="32"/>
        </w:rPr>
      </w:pPr>
      <w:r>
        <w:rPr>
          <w:rFonts w:hint="eastAsia" w:ascii="方正仿宋_GBK" w:hAnsi="方正仿宋_GBK" w:eastAsia="方正仿宋_GBK" w:cs="方正仿宋_GBK"/>
          <w:color w:val="000000"/>
          <w:sz w:val="32"/>
        </w:rPr>
        <w:t>（五）发生大规模医疗数据泄露或其他重大网络安全事件，造成严重后果。</w:t>
      </w:r>
    </w:p>
    <w:p w14:paraId="2F76DF4A">
      <w:pPr>
        <w:pStyle w:val="2"/>
        <w:keepNext w:val="0"/>
        <w:keepLines w:val="0"/>
        <w:pageBreakBefore w:val="0"/>
        <w:widowControl w:val="0"/>
        <w:kinsoku/>
        <w:wordWrap/>
        <w:overflowPunct/>
        <w:topLinePunct w:val="0"/>
        <w:autoSpaceDE/>
        <w:autoSpaceDN/>
        <w:bidi w:val="0"/>
        <w:adjustRightInd/>
        <w:snapToGrid w:val="0"/>
        <w:spacing w:line="570" w:lineRule="exact"/>
        <w:ind w:right="0" w:rightChars="0" w:firstLine="640" w:firstLineChars="200"/>
        <w:jc w:val="both"/>
        <w:textAlignment w:val="baseline"/>
        <w:rPr>
          <w:rFonts w:hint="eastAsia" w:ascii="方正仿宋_GBK" w:hAnsi="方正仿宋_GBK" w:eastAsia="方正仿宋_GBK" w:cs="方正仿宋_GBK"/>
          <w:color w:val="000000"/>
          <w:sz w:val="32"/>
        </w:rPr>
      </w:pPr>
      <w:r>
        <w:rPr>
          <w:rFonts w:hint="eastAsia" w:ascii="方正仿宋_GBK" w:hAnsi="方正仿宋_GBK" w:eastAsia="方正仿宋_GBK" w:cs="方正仿宋_GBK"/>
          <w:color w:val="000000"/>
          <w:lang w:eastAsia="zh-CN"/>
        </w:rPr>
        <w:t>（</w:t>
      </w:r>
      <w:r>
        <w:rPr>
          <w:rFonts w:hint="eastAsia" w:ascii="方正仿宋_GBK" w:hAnsi="方正仿宋_GBK" w:eastAsia="方正仿宋_GBK" w:cs="方正仿宋_GBK"/>
          <w:color w:val="000000"/>
          <w:lang w:val="en-US" w:eastAsia="zh-CN"/>
        </w:rPr>
        <w:t>六</w:t>
      </w:r>
      <w:r>
        <w:rPr>
          <w:rFonts w:hint="eastAsia" w:ascii="方正仿宋_GBK" w:hAnsi="方正仿宋_GBK" w:eastAsia="方正仿宋_GBK" w:cs="方正仿宋_GBK"/>
          <w:color w:val="000000"/>
          <w:lang w:eastAsia="zh-CN"/>
        </w:rPr>
        <w:t>）</w:t>
      </w:r>
      <w:r>
        <w:rPr>
          <w:rFonts w:hint="eastAsia" w:ascii="方正仿宋_GBK" w:hAnsi="方正仿宋_GBK" w:eastAsia="方正仿宋_GBK" w:cs="方正仿宋_GBK"/>
          <w:color w:val="000000"/>
        </w:rPr>
        <w:t>发生重大不良舆情，造成重大社会影响。</w:t>
      </w:r>
    </w:p>
    <w:p w14:paraId="21EC590D">
      <w:pPr>
        <w:pStyle w:val="2"/>
        <w:keepNext w:val="0"/>
        <w:keepLines w:val="0"/>
        <w:pageBreakBefore w:val="0"/>
        <w:widowControl w:val="0"/>
        <w:kinsoku/>
        <w:wordWrap/>
        <w:overflowPunct/>
        <w:topLinePunct w:val="0"/>
        <w:autoSpaceDE/>
        <w:autoSpaceDN/>
        <w:bidi w:val="0"/>
        <w:adjustRightInd/>
        <w:snapToGrid w:val="0"/>
        <w:spacing w:line="570" w:lineRule="exact"/>
        <w:ind w:right="0" w:rightChars="0" w:firstLine="640" w:firstLineChars="200"/>
        <w:jc w:val="both"/>
        <w:textAlignment w:val="baseline"/>
        <w:rPr>
          <w:rFonts w:hint="eastAsia" w:ascii="方正仿宋_GBK" w:hAnsi="方正仿宋_GBK" w:eastAsia="方正仿宋_GBK" w:cs="方正仿宋_GBK"/>
          <w:color w:val="000000"/>
          <w:sz w:val="32"/>
          <w:highlight w:val="none"/>
          <w:lang w:val="en-US" w:eastAsia="zh-CN"/>
        </w:rPr>
      </w:pPr>
      <w:r>
        <w:rPr>
          <w:rFonts w:hint="eastAsia" w:ascii="方正仿宋_GBK" w:hAnsi="方正仿宋_GBK" w:eastAsia="方正仿宋_GBK" w:cs="方正仿宋_GBK"/>
          <w:color w:val="000000"/>
          <w:sz w:val="32"/>
        </w:rPr>
        <w:t>（</w:t>
      </w:r>
      <w:r>
        <w:rPr>
          <w:rFonts w:hint="eastAsia" w:ascii="方正仿宋_GBK" w:hAnsi="方正仿宋_GBK" w:eastAsia="方正仿宋_GBK" w:cs="方正仿宋_GBK"/>
          <w:color w:val="000000"/>
          <w:sz w:val="32"/>
          <w:lang w:val="en-US" w:eastAsia="zh-CN"/>
        </w:rPr>
        <w:t>七</w:t>
      </w:r>
      <w:r>
        <w:rPr>
          <w:rFonts w:hint="eastAsia" w:ascii="方正仿宋_GBK" w:hAnsi="方正仿宋_GBK" w:eastAsia="方正仿宋_GBK" w:cs="方正仿宋_GBK"/>
          <w:color w:val="000000"/>
          <w:sz w:val="32"/>
        </w:rPr>
        <w:t>）未</w:t>
      </w:r>
      <w:r>
        <w:rPr>
          <w:rFonts w:hint="eastAsia" w:ascii="方正仿宋_GBK" w:hAnsi="方正仿宋_GBK" w:eastAsia="方正仿宋_GBK" w:cs="方正仿宋_GBK"/>
          <w:color w:val="000000"/>
          <w:sz w:val="32"/>
          <w:highlight w:val="none"/>
        </w:rPr>
        <w:t>执行分级诊疗制度，未按要求向卫生</w:t>
      </w:r>
      <w:r>
        <w:rPr>
          <w:rFonts w:hint="eastAsia" w:ascii="方正仿宋_GBK" w:hAnsi="方正仿宋_GBK" w:eastAsia="方正仿宋_GBK" w:cs="方正仿宋_GBK"/>
          <w:color w:val="000000"/>
          <w:sz w:val="32"/>
          <w:highlight w:val="none"/>
          <w:lang w:eastAsia="zh-CN"/>
        </w:rPr>
        <w:t>健康</w:t>
      </w:r>
      <w:r>
        <w:rPr>
          <w:rFonts w:hint="eastAsia" w:ascii="方正仿宋_GBK" w:hAnsi="方正仿宋_GBK" w:eastAsia="方正仿宋_GBK" w:cs="方正仿宋_GBK"/>
          <w:color w:val="000000"/>
          <w:sz w:val="32"/>
          <w:highlight w:val="none"/>
        </w:rPr>
        <w:t>行政部门上报医疗质量与安全信息数据并造成数据评价结果无法使用的。</w:t>
      </w:r>
      <w:r>
        <w:rPr>
          <w:rFonts w:hint="eastAsia" w:ascii="方正仿宋_GBK" w:hAnsi="方正仿宋_GBK" w:eastAsia="方正仿宋_GBK" w:cs="方正仿宋_GBK"/>
          <w:color w:val="000000"/>
          <w:sz w:val="32"/>
          <w:highlight w:val="none"/>
          <w:lang w:val="en-US" w:eastAsia="zh-CN"/>
        </w:rPr>
        <w:t xml:space="preserve">     </w:t>
      </w:r>
    </w:p>
    <w:p w14:paraId="41DA6E60">
      <w:pPr>
        <w:pStyle w:val="2"/>
        <w:keepNext w:val="0"/>
        <w:keepLines w:val="0"/>
        <w:pageBreakBefore w:val="0"/>
        <w:widowControl w:val="0"/>
        <w:kinsoku/>
        <w:wordWrap/>
        <w:overflowPunct/>
        <w:topLinePunct w:val="0"/>
        <w:autoSpaceDE/>
        <w:autoSpaceDN/>
        <w:bidi w:val="0"/>
        <w:adjustRightInd/>
        <w:snapToGrid w:val="0"/>
        <w:spacing w:line="570" w:lineRule="exact"/>
        <w:ind w:right="0" w:rightChars="0" w:firstLine="640" w:firstLineChars="200"/>
        <w:jc w:val="both"/>
        <w:textAlignment w:val="baseline"/>
      </w:pPr>
      <w:r>
        <w:rPr>
          <w:rFonts w:hint="eastAsia" w:ascii="方正仿宋_GBK" w:hAnsi="方正仿宋_GBK" w:eastAsia="方正仿宋_GBK" w:cs="方正仿宋_GBK"/>
          <w:color w:val="000000"/>
          <w:highlight w:val="none"/>
          <w:lang w:eastAsia="zh-CN"/>
        </w:rPr>
        <w:t>（</w:t>
      </w:r>
      <w:r>
        <w:rPr>
          <w:rFonts w:hint="eastAsia" w:ascii="方正仿宋_GBK" w:hAnsi="方正仿宋_GBK" w:eastAsia="方正仿宋_GBK" w:cs="方正仿宋_GBK"/>
          <w:color w:val="000000"/>
          <w:highlight w:val="none"/>
          <w:lang w:val="en-US" w:eastAsia="zh-CN"/>
        </w:rPr>
        <w:t>八</w:t>
      </w:r>
      <w:r>
        <w:rPr>
          <w:rFonts w:hint="eastAsia" w:ascii="方正仿宋_GBK" w:hAnsi="方正仿宋_GBK" w:eastAsia="方正仿宋_GBK" w:cs="方正仿宋_GBK"/>
          <w:color w:val="000000"/>
          <w:highlight w:val="none"/>
          <w:lang w:eastAsia="zh-CN"/>
        </w:rPr>
        <w:t>）</w:t>
      </w:r>
      <w:r>
        <w:rPr>
          <w:rFonts w:hint="eastAsia" w:ascii="方正仿宋_GBK" w:hAnsi="方正仿宋_GBK" w:eastAsia="方正仿宋_GBK" w:cs="方正仿宋_GBK"/>
          <w:color w:val="000000"/>
          <w:highlight w:val="none"/>
          <w:lang w:val="en-US" w:eastAsia="zh-CN"/>
        </w:rPr>
        <w:t>未落实器官捐献与移植相关管理，未达到</w:t>
      </w:r>
      <w:r>
        <w:rPr>
          <w:rFonts w:hint="eastAsia" w:ascii="方正仿宋_GBK" w:hAnsi="方正仿宋_GBK" w:eastAsia="方正仿宋_GBK" w:cs="方正仿宋_GBK"/>
          <w:color w:val="000000"/>
          <w:highlight w:val="none"/>
        </w:rPr>
        <w:t>器官捐献工作考核</w:t>
      </w:r>
      <w:r>
        <w:rPr>
          <w:rFonts w:hint="eastAsia" w:ascii="方正仿宋_GBK" w:hAnsi="方正仿宋_GBK" w:eastAsia="方正仿宋_GBK" w:cs="方正仿宋_GBK"/>
          <w:color w:val="000000"/>
          <w:highlight w:val="none"/>
          <w:lang w:val="en-US" w:eastAsia="zh-CN"/>
        </w:rPr>
        <w:t>标准的</w:t>
      </w:r>
      <w:r>
        <w:rPr>
          <w:rFonts w:hint="eastAsia" w:ascii="方正仿宋_GBK" w:hAnsi="方正仿宋_GBK" w:eastAsia="方正仿宋_GBK" w:cs="方正仿宋_GBK"/>
          <w:color w:val="000000"/>
          <w:highlight w:val="none"/>
        </w:rPr>
        <w:t>。</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altName w:val="Arial Unicode MS"/>
    <w:panose1 w:val="03000509000000000000"/>
    <w:charset w:val="86"/>
    <w:family w:val="auto"/>
    <w:pitch w:val="default"/>
    <w:sig w:usb0="00000000" w:usb1="00000000" w:usb2="00000000" w:usb3="00000000" w:csb0="00040000" w:csb1="00000000"/>
  </w:font>
  <w:font w:name="方正小标宋_GBK">
    <w:altName w:val="Arial Unicode MS"/>
    <w:panose1 w:val="03000509000000000000"/>
    <w:charset w:val="86"/>
    <w:family w:val="auto"/>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KSOFD0355493">
    <w:panose1 w:val="02000000000000000000"/>
    <w:charset w:val="86"/>
    <w:family w:val="auto"/>
    <w:pitch w:val="default"/>
    <w:sig w:usb0="00000001" w:usb1="00000000" w:usb2="00000000" w:usb3="00000000" w:csb0="00040001" w:csb1="00000000"/>
  </w:font>
  <w:font w:name="KSOF51D5AD36">
    <w:panose1 w:val="02000000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36140">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385D22C">
                          <w:pPr>
                            <w:pStyle w:val="3"/>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- 9 -</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path/>
              <v:fill on="f" focussize="0,0"/>
              <v:stroke on="f" weight="0.5pt"/>
              <v:imagedata o:title=""/>
              <o:lock v:ext="edit" aspectratio="f"/>
              <v:textbox inset="0mm,0mm,0mm,0mm" style="mso-fit-shape-to-text:t;">
                <w:txbxContent>
                  <w:p w14:paraId="6385D22C">
                    <w:pPr>
                      <w:pStyle w:val="3"/>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- 9 -</w:t>
                    </w:r>
                    <w:r>
                      <w:rPr>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9E6EA7"/>
    <w:rsid w:val="00A52C09"/>
    <w:rsid w:val="00D82FD6"/>
    <w:rsid w:val="01536DBF"/>
    <w:rsid w:val="022C7B12"/>
    <w:rsid w:val="029E6EA7"/>
    <w:rsid w:val="03BC22B9"/>
    <w:rsid w:val="0C467C6A"/>
    <w:rsid w:val="0CA6496E"/>
    <w:rsid w:val="10921A09"/>
    <w:rsid w:val="121137A1"/>
    <w:rsid w:val="12D022AA"/>
    <w:rsid w:val="136127B7"/>
    <w:rsid w:val="1537759A"/>
    <w:rsid w:val="153C3939"/>
    <w:rsid w:val="17FD1E9F"/>
    <w:rsid w:val="1CC22BF1"/>
    <w:rsid w:val="1F0E1CBE"/>
    <w:rsid w:val="1F58042A"/>
    <w:rsid w:val="213D138A"/>
    <w:rsid w:val="22094286"/>
    <w:rsid w:val="22BB7C8F"/>
    <w:rsid w:val="231B2E11"/>
    <w:rsid w:val="2601208F"/>
    <w:rsid w:val="29577E17"/>
    <w:rsid w:val="2CFA0498"/>
    <w:rsid w:val="349E08A1"/>
    <w:rsid w:val="38432C50"/>
    <w:rsid w:val="39DE65F6"/>
    <w:rsid w:val="3A6601D7"/>
    <w:rsid w:val="3AFC62EC"/>
    <w:rsid w:val="3B4F08B0"/>
    <w:rsid w:val="3D127E6A"/>
    <w:rsid w:val="3F177889"/>
    <w:rsid w:val="3F40706E"/>
    <w:rsid w:val="3F497A86"/>
    <w:rsid w:val="41C76C15"/>
    <w:rsid w:val="4203305D"/>
    <w:rsid w:val="43216D23"/>
    <w:rsid w:val="43D0489B"/>
    <w:rsid w:val="47386EEB"/>
    <w:rsid w:val="4F93087E"/>
    <w:rsid w:val="4FBE45A7"/>
    <w:rsid w:val="5211551B"/>
    <w:rsid w:val="535B0538"/>
    <w:rsid w:val="546C6AFA"/>
    <w:rsid w:val="588160DB"/>
    <w:rsid w:val="58E334A1"/>
    <w:rsid w:val="59A92571"/>
    <w:rsid w:val="5B911EDF"/>
    <w:rsid w:val="5E363C42"/>
    <w:rsid w:val="5FB755C2"/>
    <w:rsid w:val="60463B73"/>
    <w:rsid w:val="60DA0424"/>
    <w:rsid w:val="61A61E78"/>
    <w:rsid w:val="62C4078E"/>
    <w:rsid w:val="62C44114"/>
    <w:rsid w:val="62DB4B3C"/>
    <w:rsid w:val="63953142"/>
    <w:rsid w:val="64D83671"/>
    <w:rsid w:val="68B8200E"/>
    <w:rsid w:val="69D5490E"/>
    <w:rsid w:val="69FD491B"/>
    <w:rsid w:val="6FBC7B07"/>
    <w:rsid w:val="774B7559"/>
    <w:rsid w:val="779265EB"/>
    <w:rsid w:val="79D9203D"/>
    <w:rsid w:val="79F726CE"/>
    <w:rsid w:val="7BF24AAC"/>
    <w:rsid w:val="7E202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sz w:val="32"/>
      <w:szCs w:val="32"/>
    </w:rPr>
  </w:style>
  <w:style w:type="paragraph" w:styleId="3">
    <w:name w:val="footer"/>
    <w:basedOn w:val="1"/>
    <w:qFormat/>
    <w:uiPriority w:val="0"/>
    <w:pPr>
      <w:tabs>
        <w:tab w:val="center" w:pos="4153"/>
        <w:tab w:val="right" w:pos="8306"/>
      </w:tabs>
      <w:snapToGrid w:val="0"/>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云南省林业厅</Company>
  <Pages>5</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2025-12-25T02:28:00Z</dcterms:created>
  <dc:creator>李品娥</dc:creator>
  <cp:lastModifiedBy>李品娥</cp:lastModifiedBy>
  <dcterms:modified xsi:type="dcterms:W3CDTF">2025-12-25T02:28:37Z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CDF95DAC60AE485D92C00656A21F5974_11</vt:lpwstr>
  </property>
  <property fmtid="{D5CDD505-2E9C-101B-9397-08002B2CF9AE}" pid="4" name="KSOTemplateDocerSaveRecord">
    <vt:lpwstr>eyJoZGlkIjoiNTkzMTA5YjQzNDVkN2UwNGZkZWNkMmM4OGNiYmE4NmQiLCJ1c2VySWQiOiI0MzY0MTA3MDIifQ==</vt:lpwstr>
  </property>
</Properties>
</file>